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Fonts w:ascii="Times New Roman" w:hAnsi="Times New Roman" w:eastAsia="方正小标宋简体" w:cs="Times New Roman"/>
          <w:sz w:val="112"/>
          <w:szCs w:val="112"/>
        </w:rPr>
      </w:pPr>
      <w:bookmarkStart w:id="74" w:name="_GoBack"/>
      <w:bookmarkEnd w:id="74"/>
    </w:p>
    <w:p>
      <w:pPr>
        <w:keepNext w:val="0"/>
        <w:keepLines w:val="0"/>
        <w:pageBreakBefore w:val="0"/>
        <w:widowControl w:val="0"/>
        <w:kinsoku/>
        <w:wordWrap/>
        <w:overflowPunct/>
        <w:topLinePunct w:val="0"/>
        <w:autoSpaceDE/>
        <w:autoSpaceDN/>
        <w:bidi w:val="0"/>
        <w:adjustRightInd/>
        <w:snapToGrid/>
        <w:spacing w:line="1600" w:lineRule="exact"/>
        <w:ind w:firstLine="0" w:firstLineChars="0"/>
        <w:jc w:val="center"/>
        <w:textAlignment w:val="auto"/>
        <w:rPr>
          <w:rFonts w:hint="eastAsia" w:ascii="Times New Roman" w:hAnsi="Times New Roman" w:eastAsia="方正小标宋简体" w:cs="Times New Roman"/>
          <w:sz w:val="112"/>
          <w:szCs w:val="112"/>
          <w:lang w:val="en-US" w:eastAsia="zh-CN"/>
        </w:rPr>
      </w:pPr>
      <w:r>
        <w:rPr>
          <w:rFonts w:hint="eastAsia" w:ascii="Times New Roman" w:hAnsi="Times New Roman" w:eastAsia="方正小标宋简体" w:cs="Times New Roman"/>
          <w:sz w:val="112"/>
          <w:szCs w:val="112"/>
          <w:lang w:val="en-US" w:eastAsia="zh-CN"/>
        </w:rPr>
        <w:t>金融助企惠民</w:t>
      </w:r>
    </w:p>
    <w:p>
      <w:pPr>
        <w:keepNext w:val="0"/>
        <w:keepLines w:val="0"/>
        <w:pageBreakBefore w:val="0"/>
        <w:widowControl w:val="0"/>
        <w:kinsoku/>
        <w:wordWrap/>
        <w:overflowPunct/>
        <w:topLinePunct w:val="0"/>
        <w:autoSpaceDE/>
        <w:autoSpaceDN/>
        <w:bidi w:val="0"/>
        <w:adjustRightInd/>
        <w:snapToGrid/>
        <w:spacing w:line="1600" w:lineRule="exact"/>
        <w:ind w:firstLine="0" w:firstLineChars="0"/>
        <w:jc w:val="center"/>
        <w:textAlignment w:val="auto"/>
        <w:rPr>
          <w:rFonts w:ascii="Times New Roman" w:hAnsi="Times New Roman" w:eastAsia="方正小标宋简体" w:cs="Times New Roman"/>
          <w:sz w:val="112"/>
          <w:szCs w:val="112"/>
        </w:rPr>
      </w:pPr>
      <w:r>
        <w:rPr>
          <w:rFonts w:ascii="Times New Roman" w:hAnsi="Times New Roman" w:eastAsia="方正小标宋简体" w:cs="Times New Roman"/>
          <w:sz w:val="112"/>
          <w:szCs w:val="112"/>
        </w:rPr>
        <w:t>政策汇编</w:t>
      </w:r>
    </w:p>
    <w:p>
      <w:pPr>
        <w:pageBreakBefore w:val="0"/>
        <w:kinsoku/>
        <w:wordWrap/>
        <w:overflowPunct/>
        <w:topLinePunct w:val="0"/>
        <w:bidi w:val="0"/>
        <w:spacing w:line="590" w:lineRule="exact"/>
        <w:ind w:firstLine="1040"/>
        <w:rPr>
          <w:rFonts w:ascii="Times New Roman" w:hAnsi="Times New Roman" w:eastAsia="方正小标宋简体" w:cs="Times New Roman"/>
          <w:sz w:val="52"/>
          <w:szCs w:val="112"/>
        </w:rPr>
      </w:pPr>
    </w:p>
    <w:p>
      <w:pPr>
        <w:pStyle w:val="2"/>
        <w:pageBreakBefore w:val="0"/>
        <w:kinsoku/>
        <w:wordWrap/>
        <w:overflowPunct/>
        <w:topLinePunct w:val="0"/>
        <w:bidi w:val="0"/>
        <w:spacing w:line="590" w:lineRule="exact"/>
        <w:ind w:firstLine="360"/>
      </w:pPr>
    </w:p>
    <w:p>
      <w:pPr>
        <w:pageBreakBefore w:val="0"/>
        <w:kinsoku/>
        <w:wordWrap/>
        <w:overflowPunct/>
        <w:topLinePunct w:val="0"/>
        <w:bidi w:val="0"/>
        <w:spacing w:line="590" w:lineRule="exact"/>
        <w:rPr>
          <w:rFonts w:ascii="Times New Roman" w:hAnsi="Times New Roman" w:cs="Times New Roman"/>
        </w:rPr>
      </w:pPr>
    </w:p>
    <w:p>
      <w:pPr>
        <w:pageBreakBefore w:val="0"/>
        <w:kinsoku/>
        <w:wordWrap/>
        <w:overflowPunct/>
        <w:topLinePunct w:val="0"/>
        <w:bidi w:val="0"/>
        <w:spacing w:line="590" w:lineRule="exact"/>
        <w:rPr>
          <w:rFonts w:ascii="Times New Roman" w:hAnsi="Times New Roman" w:cs="Times New Roman"/>
        </w:rPr>
      </w:pPr>
    </w:p>
    <w:p>
      <w:pPr>
        <w:pageBreakBefore w:val="0"/>
        <w:kinsoku/>
        <w:wordWrap/>
        <w:overflowPunct/>
        <w:topLinePunct w:val="0"/>
        <w:bidi w:val="0"/>
        <w:spacing w:line="590" w:lineRule="exact"/>
        <w:rPr>
          <w:rFonts w:ascii="Times New Roman" w:hAnsi="Times New Roman" w:cs="Times New Roman"/>
        </w:rPr>
      </w:pPr>
    </w:p>
    <w:p>
      <w:pPr>
        <w:pageBreakBefore w:val="0"/>
        <w:kinsoku/>
        <w:wordWrap/>
        <w:overflowPunct/>
        <w:topLinePunct w:val="0"/>
        <w:bidi w:val="0"/>
        <w:spacing w:line="590" w:lineRule="exact"/>
        <w:rPr>
          <w:rFonts w:ascii="Times New Roman" w:hAnsi="Times New Roman" w:cs="Times New Roman"/>
        </w:rPr>
      </w:pPr>
    </w:p>
    <w:p>
      <w:pPr>
        <w:pageBreakBefore w:val="0"/>
        <w:kinsoku/>
        <w:wordWrap/>
        <w:overflowPunct/>
        <w:topLinePunct w:val="0"/>
        <w:bidi w:val="0"/>
        <w:spacing w:line="590" w:lineRule="exact"/>
        <w:rPr>
          <w:rFonts w:ascii="Times New Roman" w:hAnsi="Times New Roman" w:cs="Times New Roman"/>
        </w:rPr>
      </w:pPr>
    </w:p>
    <w:p>
      <w:pPr>
        <w:pageBreakBefore w:val="0"/>
        <w:kinsoku/>
        <w:wordWrap/>
        <w:overflowPunct/>
        <w:topLinePunct w:val="0"/>
        <w:bidi w:val="0"/>
        <w:spacing w:line="590" w:lineRule="exact"/>
        <w:rPr>
          <w:rFonts w:ascii="Times New Roman" w:hAnsi="Times New Roman" w:cs="Times New Roman"/>
        </w:rPr>
      </w:pPr>
    </w:p>
    <w:p>
      <w:pPr>
        <w:pageBreakBefore w:val="0"/>
        <w:kinsoku/>
        <w:wordWrap/>
        <w:overflowPunct/>
        <w:topLinePunct w:val="0"/>
        <w:bidi w:val="0"/>
        <w:spacing w:line="590" w:lineRule="exact"/>
        <w:rPr>
          <w:rFonts w:ascii="Times New Roman" w:hAnsi="Times New Roman" w:cs="Times New Roman"/>
        </w:rPr>
      </w:pPr>
    </w:p>
    <w:p>
      <w:pPr>
        <w:pageBreakBefore w:val="0"/>
        <w:kinsoku/>
        <w:wordWrap/>
        <w:overflowPunct/>
        <w:topLinePunct w:val="0"/>
        <w:bidi w:val="0"/>
        <w:spacing w:line="590" w:lineRule="exact"/>
        <w:rPr>
          <w:rFonts w:ascii="Times New Roman" w:hAnsi="Times New Roman" w:cs="Times New Roman"/>
        </w:rPr>
      </w:pPr>
    </w:p>
    <w:p>
      <w:pPr>
        <w:pageBreakBefore w:val="0"/>
        <w:kinsoku/>
        <w:wordWrap/>
        <w:overflowPunct/>
        <w:topLinePunct w:val="0"/>
        <w:bidi w:val="0"/>
        <w:spacing w:line="590" w:lineRule="exact"/>
        <w:rPr>
          <w:rFonts w:ascii="Times New Roman" w:hAnsi="Times New Roman" w:cs="Times New Roman"/>
          <w:szCs w:val="32"/>
        </w:rPr>
      </w:pPr>
    </w:p>
    <w:p>
      <w:pPr>
        <w:pageBreakBefore w:val="0"/>
        <w:kinsoku/>
        <w:wordWrap/>
        <w:overflowPunct/>
        <w:topLinePunct w:val="0"/>
        <w:bidi w:val="0"/>
        <w:spacing w:line="590" w:lineRule="exact"/>
        <w:ind w:firstLine="0" w:firstLineChars="0"/>
        <w:jc w:val="center"/>
        <w:rPr>
          <w:rFonts w:ascii="楷体" w:hAnsi="楷体" w:eastAsia="楷体" w:cs="Times New Roman"/>
          <w:szCs w:val="32"/>
        </w:rPr>
      </w:pPr>
      <w:r>
        <w:rPr>
          <w:rFonts w:hint="eastAsia" w:ascii="楷体" w:hAnsi="楷体" w:eastAsia="楷体" w:cs="Times New Roman"/>
          <w:szCs w:val="32"/>
          <w:lang w:val="en-US" w:eastAsia="zh-CN"/>
        </w:rPr>
        <w:t>市</w:t>
      </w:r>
      <w:r>
        <w:rPr>
          <w:rFonts w:ascii="楷体" w:hAnsi="楷体" w:eastAsia="楷体" w:cs="Times New Roman"/>
          <w:szCs w:val="32"/>
        </w:rPr>
        <w:t>地方金融监督管理局</w:t>
      </w:r>
    </w:p>
    <w:p>
      <w:pPr>
        <w:pageBreakBefore w:val="0"/>
        <w:kinsoku/>
        <w:wordWrap/>
        <w:overflowPunct/>
        <w:topLinePunct w:val="0"/>
        <w:bidi w:val="0"/>
        <w:spacing w:line="590" w:lineRule="exact"/>
        <w:ind w:firstLine="0" w:firstLineChars="0"/>
        <w:jc w:val="center"/>
        <w:rPr>
          <w:rFonts w:ascii="楷体" w:hAnsi="楷体" w:eastAsia="楷体" w:cs="Times New Roman"/>
          <w:szCs w:val="32"/>
        </w:rPr>
      </w:pPr>
      <w:r>
        <w:rPr>
          <w:rFonts w:ascii="楷体" w:hAnsi="楷体" w:eastAsia="楷体" w:cs="Times New Roman"/>
          <w:szCs w:val="32"/>
        </w:rPr>
        <w:t>20</w:t>
      </w:r>
      <w:r>
        <w:rPr>
          <w:rFonts w:hint="eastAsia" w:ascii="楷体" w:hAnsi="楷体" w:eastAsia="楷体" w:cs="Times New Roman"/>
          <w:szCs w:val="32"/>
        </w:rPr>
        <w:t>2</w:t>
      </w:r>
      <w:r>
        <w:rPr>
          <w:rFonts w:ascii="楷体" w:hAnsi="楷体" w:eastAsia="楷体" w:cs="Times New Roman"/>
          <w:szCs w:val="32"/>
        </w:rPr>
        <w:t>2年</w:t>
      </w:r>
      <w:r>
        <w:rPr>
          <w:rFonts w:hint="eastAsia" w:ascii="楷体" w:hAnsi="楷体" w:eastAsia="楷体" w:cs="Times New Roman"/>
          <w:szCs w:val="32"/>
          <w:lang w:val="en-US" w:eastAsia="zh-CN"/>
        </w:rPr>
        <w:t>9</w:t>
      </w:r>
      <w:r>
        <w:rPr>
          <w:rFonts w:ascii="楷体" w:hAnsi="楷体" w:eastAsia="楷体" w:cs="Times New Roman"/>
          <w:szCs w:val="32"/>
        </w:rPr>
        <w:t>月</w:t>
      </w:r>
    </w:p>
    <w:p>
      <w:pPr>
        <w:pageBreakBefore w:val="0"/>
        <w:kinsoku/>
        <w:wordWrap/>
        <w:overflowPunct/>
        <w:topLinePunct w:val="0"/>
        <w:bidi w:val="0"/>
        <w:spacing w:line="590" w:lineRule="exact"/>
        <w:ind w:firstLine="800"/>
        <w:rPr>
          <w:rFonts w:ascii="Times New Roman" w:hAnsi="Times New Roman" w:cs="Times New Roman"/>
          <w:sz w:val="40"/>
          <w:szCs w:val="40"/>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sdt>
      <w:sdtPr>
        <w:rPr>
          <w:rFonts w:eastAsia="方正小标宋简体" w:asciiTheme="minorHAnsi" w:hAnsiTheme="minorHAnsi" w:cstheme="minorBidi"/>
          <w:bCs w:val="0"/>
          <w:color w:val="auto"/>
          <w:kern w:val="2"/>
          <w:sz w:val="36"/>
          <w:szCs w:val="36"/>
          <w:highlight w:val="none"/>
          <w:lang w:val="zh-CN"/>
        </w:rPr>
        <w:id w:val="1188409115"/>
      </w:sdtPr>
      <w:sdtEndPr>
        <w:rPr>
          <w:rFonts w:eastAsia="方正小标宋简体" w:asciiTheme="minorHAnsi" w:hAnsiTheme="minorHAnsi" w:cstheme="minorBidi"/>
          <w:bCs w:val="0"/>
          <w:color w:val="auto"/>
          <w:kern w:val="2"/>
          <w:sz w:val="21"/>
          <w:szCs w:val="24"/>
          <w:highlight w:val="yellow"/>
          <w:lang w:val="zh-CN"/>
        </w:rPr>
      </w:sdtEndPr>
      <w:sdtContent>
        <w:p>
          <w:pPr>
            <w:pStyle w:val="32"/>
            <w:pageBreakBefore w:val="0"/>
            <w:kinsoku/>
            <w:wordWrap/>
            <w:overflowPunct/>
            <w:topLinePunct w:val="0"/>
            <w:bidi w:val="0"/>
            <w:spacing w:before="0" w:line="590" w:lineRule="exact"/>
            <w:ind w:firstLine="0" w:firstLineChars="0"/>
            <w:jc w:val="center"/>
            <w:rPr>
              <w:rFonts w:hint="eastAsia" w:ascii="方正小标宋简体" w:hAnsi="方正小标宋简体" w:eastAsia="方正小标宋简体" w:cs="方正小标宋简体"/>
              <w:color w:val="000000" w:themeColor="text1"/>
              <w:sz w:val="36"/>
              <w:szCs w:val="36"/>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highlight w:val="none"/>
              <w:lang w:val="zh-CN"/>
              <w14:textFill>
                <w14:solidFill>
                  <w14:schemeClr w14:val="tx1"/>
                </w14:solidFill>
              </w14:textFill>
            </w:rPr>
            <w:t>目</w:t>
          </w:r>
          <w:r>
            <w:rPr>
              <w:rFonts w:hint="eastAsia" w:ascii="方正小标宋简体" w:hAnsi="方正小标宋简体" w:eastAsia="方正小标宋简体" w:cs="方正小标宋简体"/>
              <w:color w:val="000000" w:themeColor="text1"/>
              <w:sz w:val="36"/>
              <w:szCs w:val="36"/>
              <w:highlight w:val="none"/>
              <w14:textFill>
                <w14:solidFill>
                  <w14:schemeClr w14:val="tx1"/>
                </w14:solidFill>
              </w14:textFill>
            </w:rPr>
            <w:t xml:space="preserve">  </w:t>
          </w:r>
          <w:r>
            <w:rPr>
              <w:rFonts w:hint="eastAsia" w:ascii="方正小标宋简体" w:hAnsi="方正小标宋简体" w:eastAsia="方正小标宋简体" w:cs="方正小标宋简体"/>
              <w:color w:val="000000" w:themeColor="text1"/>
              <w:sz w:val="36"/>
              <w:szCs w:val="36"/>
              <w:highlight w:val="none"/>
              <w:lang w:val="zh-CN"/>
              <w14:textFill>
                <w14:solidFill>
                  <w14:schemeClr w14:val="tx1"/>
                </w14:solidFill>
              </w14:textFill>
            </w:rPr>
            <w:t>录</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TOC \o "1-3" \h \z \u </w:instrText>
          </w:r>
          <w:r>
            <w:rPr>
              <w:rFonts w:hint="eastAsia" w:ascii="黑体" w:hAnsi="黑体" w:eastAsia="黑体" w:cs="黑体"/>
              <w:sz w:val="24"/>
              <w:szCs w:val="24"/>
            </w:rPr>
            <w:fldChar w:fldCharType="separate"/>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_Toc18028 </w:instrText>
          </w:r>
          <w:r>
            <w:rPr>
              <w:rFonts w:hint="eastAsia" w:ascii="黑体" w:hAnsi="黑体" w:eastAsia="黑体" w:cs="黑体"/>
              <w:sz w:val="24"/>
              <w:szCs w:val="24"/>
            </w:rPr>
            <w:fldChar w:fldCharType="separate"/>
          </w:r>
          <w:r>
            <w:rPr>
              <w:rFonts w:hint="eastAsia" w:ascii="黑体" w:hAnsi="黑体" w:eastAsia="黑体" w:cs="黑体"/>
              <w:sz w:val="24"/>
              <w:szCs w:val="24"/>
            </w:rPr>
            <w:t>第一篇：银行信贷篇</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_Toc18028 \h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_Toc13500 </w:instrText>
          </w:r>
          <w:r>
            <w:rPr>
              <w:rFonts w:hint="eastAsia" w:ascii="黑体" w:hAnsi="黑体" w:eastAsia="黑体" w:cs="黑体"/>
              <w:bCs/>
              <w:sz w:val="24"/>
              <w:szCs w:val="24"/>
              <w:lang w:val="zh-CN"/>
            </w:rPr>
            <w:fldChar w:fldCharType="separate"/>
          </w:r>
          <w:r>
            <w:rPr>
              <w:rFonts w:hint="eastAsia" w:ascii="黑体" w:hAnsi="黑体" w:eastAsia="黑体" w:cs="黑体"/>
              <w:sz w:val="24"/>
              <w:szCs w:val="24"/>
              <w:lang w:val="en" w:eastAsia="zh-CN"/>
            </w:rPr>
            <w:t>东营市“人才贷”风险补偿资金管理办法</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_Toc13500 \h </w:instrText>
          </w:r>
          <w:r>
            <w:rPr>
              <w:rFonts w:hint="eastAsia" w:ascii="黑体" w:hAnsi="黑体" w:eastAsia="黑体" w:cs="黑体"/>
              <w:sz w:val="24"/>
              <w:szCs w:val="24"/>
            </w:rPr>
            <w:fldChar w:fldCharType="separate"/>
          </w:r>
          <w:r>
            <w:rPr>
              <w:rFonts w:hint="eastAsia" w:ascii="黑体" w:hAnsi="黑体" w:eastAsia="黑体" w:cs="黑体"/>
              <w:sz w:val="24"/>
              <w:szCs w:val="24"/>
            </w:rPr>
            <w:t>2</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_Toc32070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 w:eastAsia="zh-CN"/>
            </w:rPr>
            <w:t>创业担保贷款</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_Toc32070 \h </w:instrText>
          </w:r>
          <w:r>
            <w:rPr>
              <w:rFonts w:hint="eastAsia" w:ascii="黑体" w:hAnsi="黑体" w:eastAsia="黑体" w:cs="黑体"/>
              <w:sz w:val="24"/>
              <w:szCs w:val="24"/>
            </w:rPr>
            <w:fldChar w:fldCharType="separate"/>
          </w:r>
          <w:r>
            <w:rPr>
              <w:rFonts w:hint="eastAsia" w:ascii="黑体" w:hAnsi="黑体" w:eastAsia="黑体" w:cs="黑体"/>
              <w:sz w:val="24"/>
              <w:szCs w:val="24"/>
            </w:rPr>
            <w:t>4</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_Toc16807 </w:instrText>
          </w:r>
          <w:r>
            <w:rPr>
              <w:rFonts w:hint="eastAsia" w:ascii="黑体" w:hAnsi="黑体" w:eastAsia="黑体" w:cs="黑体"/>
              <w:bCs/>
              <w:sz w:val="24"/>
              <w:szCs w:val="24"/>
              <w:lang w:val="zh-CN"/>
            </w:rPr>
            <w:fldChar w:fldCharType="separate"/>
          </w:r>
          <w:r>
            <w:rPr>
              <w:rFonts w:hint="eastAsia" w:ascii="黑体" w:hAnsi="黑体" w:eastAsia="黑体" w:cs="黑体"/>
              <w:bCs w:val="0"/>
              <w:kern w:val="2"/>
              <w:sz w:val="24"/>
              <w:szCs w:val="24"/>
              <w:highlight w:val="none"/>
              <w:lang w:val="en-US" w:eastAsia="zh-CN" w:bidi="ar-SA"/>
            </w:rPr>
            <w:t>延期还本付息贷款政策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_Toc16807 \h </w:instrText>
          </w:r>
          <w:r>
            <w:rPr>
              <w:rFonts w:hint="eastAsia" w:ascii="黑体" w:hAnsi="黑体" w:eastAsia="黑体" w:cs="黑体"/>
              <w:sz w:val="24"/>
              <w:szCs w:val="24"/>
            </w:rPr>
            <w:fldChar w:fldCharType="separate"/>
          </w:r>
          <w:r>
            <w:rPr>
              <w:rFonts w:hint="eastAsia" w:ascii="黑体" w:hAnsi="黑体" w:eastAsia="黑体" w:cs="黑体"/>
              <w:sz w:val="24"/>
              <w:szCs w:val="24"/>
            </w:rPr>
            <w:t>7</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_Toc20794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eastAsia="zh-CN"/>
            </w:rPr>
            <w:t>东青惠企贷支持青年创新创业</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_Toc20794 \h </w:instrText>
          </w:r>
          <w:r>
            <w:rPr>
              <w:rFonts w:hint="eastAsia" w:ascii="黑体" w:hAnsi="黑体" w:eastAsia="黑体" w:cs="黑体"/>
              <w:sz w:val="24"/>
              <w:szCs w:val="24"/>
            </w:rPr>
            <w:fldChar w:fldCharType="separate"/>
          </w:r>
          <w:r>
            <w:rPr>
              <w:rFonts w:hint="eastAsia" w:ascii="黑体" w:hAnsi="黑体" w:eastAsia="黑体" w:cs="黑体"/>
              <w:sz w:val="24"/>
              <w:szCs w:val="24"/>
            </w:rPr>
            <w:t>11</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_Toc10317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highlight w:val="none"/>
              <w:lang w:eastAsia="zh-CN"/>
            </w:rPr>
            <w:t>乡村好青年贷</w:t>
          </w:r>
          <w:r>
            <w:rPr>
              <w:rFonts w:hint="eastAsia" w:ascii="黑体" w:hAnsi="黑体" w:eastAsia="黑体" w:cs="黑体"/>
              <w:bCs w:val="0"/>
              <w:sz w:val="24"/>
              <w:szCs w:val="24"/>
              <w:highlight w:val="none"/>
              <w:lang w:val="en-US" w:eastAsia="zh-CN"/>
            </w:rPr>
            <w:t>经营贷</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_Toc10317 \h </w:instrText>
          </w:r>
          <w:r>
            <w:rPr>
              <w:rFonts w:hint="eastAsia" w:ascii="黑体" w:hAnsi="黑体" w:eastAsia="黑体" w:cs="黑体"/>
              <w:sz w:val="24"/>
              <w:szCs w:val="24"/>
            </w:rPr>
            <w:fldChar w:fldCharType="separate"/>
          </w:r>
          <w:r>
            <w:rPr>
              <w:rFonts w:hint="eastAsia" w:ascii="黑体" w:hAnsi="黑体" w:eastAsia="黑体" w:cs="黑体"/>
              <w:sz w:val="24"/>
              <w:szCs w:val="24"/>
            </w:rPr>
            <w:t>14</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_Toc32221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highlight w:val="none"/>
              <w:lang w:eastAsia="zh-CN"/>
            </w:rPr>
            <w:t>乡村好青年消费贷</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_Toc32221 \h </w:instrText>
          </w:r>
          <w:r>
            <w:rPr>
              <w:rFonts w:hint="eastAsia" w:ascii="黑体" w:hAnsi="黑体" w:eastAsia="黑体" w:cs="黑体"/>
              <w:sz w:val="24"/>
              <w:szCs w:val="24"/>
            </w:rPr>
            <w:fldChar w:fldCharType="separate"/>
          </w:r>
          <w:r>
            <w:rPr>
              <w:rFonts w:hint="eastAsia" w:ascii="黑体" w:hAnsi="黑体" w:eastAsia="黑体" w:cs="黑体"/>
              <w:sz w:val="24"/>
              <w:szCs w:val="24"/>
            </w:rPr>
            <w:t>17</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_Toc26691 </w:instrText>
          </w:r>
          <w:r>
            <w:rPr>
              <w:rFonts w:hint="eastAsia" w:ascii="黑体" w:hAnsi="黑体" w:eastAsia="黑体" w:cs="黑体"/>
              <w:bCs/>
              <w:sz w:val="24"/>
              <w:szCs w:val="24"/>
              <w:lang w:val="zh-CN"/>
            </w:rPr>
            <w:fldChar w:fldCharType="separate"/>
          </w:r>
          <w:r>
            <w:rPr>
              <w:rFonts w:hint="eastAsia" w:ascii="黑体" w:hAnsi="黑体" w:eastAsia="黑体" w:cs="黑体"/>
              <w:bCs w:val="0"/>
              <w:kern w:val="2"/>
              <w:sz w:val="24"/>
              <w:szCs w:val="24"/>
              <w:highlight w:val="none"/>
              <w:lang w:val="en-US" w:eastAsia="zh-CN" w:bidi="ar-SA"/>
            </w:rPr>
            <w:t>鲁担巾帼贷</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_Toc26691 \h </w:instrText>
          </w:r>
          <w:r>
            <w:rPr>
              <w:rFonts w:hint="eastAsia" w:ascii="黑体" w:hAnsi="黑体" w:eastAsia="黑体" w:cs="黑体"/>
              <w:sz w:val="24"/>
              <w:szCs w:val="24"/>
            </w:rPr>
            <w:fldChar w:fldCharType="separate"/>
          </w:r>
          <w:r>
            <w:rPr>
              <w:rFonts w:hint="eastAsia" w:ascii="黑体" w:hAnsi="黑体" w:eastAsia="黑体" w:cs="黑体"/>
              <w:sz w:val="24"/>
              <w:szCs w:val="24"/>
            </w:rPr>
            <w:t>20</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_Toc13691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eastAsia="zh-CN"/>
            </w:rPr>
            <w:t>加强新市民金融服务</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_Toc13691 \h </w:instrText>
          </w:r>
          <w:r>
            <w:rPr>
              <w:rFonts w:hint="eastAsia" w:ascii="黑体" w:hAnsi="黑体" w:eastAsia="黑体" w:cs="黑体"/>
              <w:sz w:val="24"/>
              <w:szCs w:val="24"/>
            </w:rPr>
            <w:fldChar w:fldCharType="separate"/>
          </w:r>
          <w:r>
            <w:rPr>
              <w:rFonts w:hint="eastAsia" w:ascii="黑体" w:hAnsi="黑体" w:eastAsia="黑体" w:cs="黑体"/>
              <w:sz w:val="24"/>
              <w:szCs w:val="24"/>
            </w:rPr>
            <w:t>23</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_Toc32648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highlight w:val="none"/>
            </w:rPr>
            <w:t>“积金惠企”专项活动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_Toc32648 \h </w:instrText>
          </w:r>
          <w:r>
            <w:rPr>
              <w:rFonts w:hint="eastAsia" w:ascii="黑体" w:hAnsi="黑体" w:eastAsia="黑体" w:cs="黑体"/>
              <w:sz w:val="24"/>
              <w:szCs w:val="24"/>
            </w:rPr>
            <w:fldChar w:fldCharType="separate"/>
          </w:r>
          <w:r>
            <w:rPr>
              <w:rFonts w:hint="eastAsia" w:ascii="黑体" w:hAnsi="黑体" w:eastAsia="黑体" w:cs="黑体"/>
              <w:sz w:val="24"/>
              <w:szCs w:val="24"/>
            </w:rPr>
            <w:t>26</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_Toc18290 </w:instrText>
          </w:r>
          <w:r>
            <w:rPr>
              <w:rFonts w:hint="eastAsia" w:ascii="黑体" w:hAnsi="黑体" w:eastAsia="黑体" w:cs="黑体"/>
              <w:bCs/>
              <w:sz w:val="24"/>
              <w:szCs w:val="24"/>
              <w:lang w:val="zh-CN"/>
            </w:rPr>
            <w:fldChar w:fldCharType="separate"/>
          </w:r>
          <w:r>
            <w:rPr>
              <w:rFonts w:hint="eastAsia" w:ascii="黑体" w:hAnsi="黑体" w:eastAsia="黑体" w:cs="黑体"/>
              <w:kern w:val="2"/>
              <w:sz w:val="24"/>
              <w:szCs w:val="24"/>
              <w:highlight w:val="none"/>
              <w:lang w:val="en-US" w:eastAsia="zh-CN" w:bidi="ar-SA"/>
            </w:rPr>
            <w:t>市级应急转贷政策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_Toc18290 \h </w:instrText>
          </w:r>
          <w:r>
            <w:rPr>
              <w:rFonts w:hint="eastAsia" w:ascii="黑体" w:hAnsi="黑体" w:eastAsia="黑体" w:cs="黑体"/>
              <w:sz w:val="24"/>
              <w:szCs w:val="24"/>
            </w:rPr>
            <w:fldChar w:fldCharType="separate"/>
          </w:r>
          <w:r>
            <w:rPr>
              <w:rFonts w:hint="eastAsia" w:ascii="黑体" w:hAnsi="黑体" w:eastAsia="黑体" w:cs="黑体"/>
              <w:sz w:val="24"/>
              <w:szCs w:val="24"/>
            </w:rPr>
            <w:t>27</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_Toc3059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US" w:eastAsia="zh-CN"/>
            </w:rPr>
            <w:t>“专精特新”中小企业贷款风险补偿政策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_Toc3059 \h </w:instrText>
          </w:r>
          <w:r>
            <w:rPr>
              <w:rFonts w:hint="eastAsia" w:ascii="黑体" w:hAnsi="黑体" w:eastAsia="黑体" w:cs="黑体"/>
              <w:sz w:val="24"/>
              <w:szCs w:val="24"/>
            </w:rPr>
            <w:fldChar w:fldCharType="separate"/>
          </w:r>
          <w:r>
            <w:rPr>
              <w:rFonts w:hint="eastAsia" w:ascii="黑体" w:hAnsi="黑体" w:eastAsia="黑体" w:cs="黑体"/>
              <w:sz w:val="24"/>
              <w:szCs w:val="24"/>
            </w:rPr>
            <w:t>29</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_Toc32358 </w:instrText>
          </w:r>
          <w:r>
            <w:rPr>
              <w:rFonts w:hint="eastAsia" w:ascii="黑体" w:hAnsi="黑体" w:eastAsia="黑体" w:cs="黑体"/>
              <w:bCs/>
              <w:sz w:val="24"/>
              <w:szCs w:val="24"/>
              <w:lang w:val="zh-CN"/>
            </w:rPr>
            <w:fldChar w:fldCharType="separate"/>
          </w:r>
          <w:r>
            <w:rPr>
              <w:rFonts w:hint="eastAsia" w:ascii="黑体" w:hAnsi="黑体" w:eastAsia="黑体" w:cs="黑体"/>
              <w:sz w:val="24"/>
              <w:szCs w:val="24"/>
              <w:highlight w:val="none"/>
            </w:rPr>
            <w:t>东营市知识产权质押融资风险补偿</w:t>
          </w:r>
          <w:r>
            <w:rPr>
              <w:rFonts w:hint="eastAsia" w:ascii="黑体" w:hAnsi="黑体" w:eastAsia="黑体" w:cs="黑体"/>
              <w:sz w:val="24"/>
              <w:szCs w:val="24"/>
              <w:highlight w:val="none"/>
              <w:lang w:eastAsia="zh-CN"/>
            </w:rPr>
            <w:t>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_Toc32358 \h </w:instrText>
          </w:r>
          <w:r>
            <w:rPr>
              <w:rFonts w:hint="eastAsia" w:ascii="黑体" w:hAnsi="黑体" w:eastAsia="黑体" w:cs="黑体"/>
              <w:sz w:val="24"/>
              <w:szCs w:val="24"/>
            </w:rPr>
            <w:fldChar w:fldCharType="separate"/>
          </w:r>
          <w:r>
            <w:rPr>
              <w:rFonts w:hint="eastAsia" w:ascii="黑体" w:hAnsi="黑体" w:eastAsia="黑体" w:cs="黑体"/>
              <w:sz w:val="24"/>
              <w:szCs w:val="24"/>
            </w:rPr>
            <w:t>31</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_Toc26903 </w:instrText>
          </w:r>
          <w:r>
            <w:rPr>
              <w:rFonts w:hint="eastAsia" w:ascii="黑体" w:hAnsi="黑体" w:eastAsia="黑体" w:cs="黑体"/>
              <w:bCs/>
              <w:sz w:val="24"/>
              <w:szCs w:val="24"/>
              <w:lang w:val="zh-CN"/>
            </w:rPr>
            <w:fldChar w:fldCharType="separate"/>
          </w:r>
          <w:r>
            <w:rPr>
              <w:rFonts w:hint="eastAsia" w:ascii="黑体" w:hAnsi="黑体" w:eastAsia="黑体" w:cs="黑体"/>
              <w:sz w:val="24"/>
              <w:szCs w:val="24"/>
              <w:highlight w:val="none"/>
            </w:rPr>
            <w:t>中小微企业知识产权质押融资贴息</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_Toc26903 \h </w:instrText>
          </w:r>
          <w:r>
            <w:rPr>
              <w:rFonts w:hint="eastAsia" w:ascii="黑体" w:hAnsi="黑体" w:eastAsia="黑体" w:cs="黑体"/>
              <w:sz w:val="24"/>
              <w:szCs w:val="24"/>
            </w:rPr>
            <w:fldChar w:fldCharType="separate"/>
          </w:r>
          <w:r>
            <w:rPr>
              <w:rFonts w:hint="eastAsia" w:ascii="黑体" w:hAnsi="黑体" w:eastAsia="黑体" w:cs="黑体"/>
              <w:sz w:val="24"/>
              <w:szCs w:val="24"/>
            </w:rPr>
            <w:t>33</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_Toc7448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highlight w:val="none"/>
              <w:lang w:val="en"/>
            </w:rPr>
            <w:t>科技成果转化贷款</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_Toc7448 \h </w:instrText>
          </w:r>
          <w:r>
            <w:rPr>
              <w:rFonts w:hint="eastAsia" w:ascii="黑体" w:hAnsi="黑体" w:eastAsia="黑体" w:cs="黑体"/>
              <w:sz w:val="24"/>
              <w:szCs w:val="24"/>
            </w:rPr>
            <w:fldChar w:fldCharType="separate"/>
          </w:r>
          <w:r>
            <w:rPr>
              <w:rFonts w:hint="eastAsia" w:ascii="黑体" w:hAnsi="黑体" w:eastAsia="黑体" w:cs="黑体"/>
              <w:sz w:val="24"/>
              <w:szCs w:val="24"/>
            </w:rPr>
            <w:t>35</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_Toc13892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
            </w:rPr>
            <w:t>科技成果转化贷款贴息</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_Toc13892 \h </w:instrText>
          </w:r>
          <w:r>
            <w:rPr>
              <w:rFonts w:hint="eastAsia" w:ascii="黑体" w:hAnsi="黑体" w:eastAsia="黑体" w:cs="黑体"/>
              <w:sz w:val="24"/>
              <w:szCs w:val="24"/>
            </w:rPr>
            <w:fldChar w:fldCharType="separate"/>
          </w:r>
          <w:r>
            <w:rPr>
              <w:rFonts w:hint="eastAsia" w:ascii="黑体" w:hAnsi="黑体" w:eastAsia="黑体" w:cs="黑体"/>
              <w:sz w:val="24"/>
              <w:szCs w:val="24"/>
            </w:rPr>
            <w:t>37</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_Toc22244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highlight w:val="none"/>
              <w:lang w:val="en"/>
            </w:rPr>
            <w:t>“技改专项贷”贴息和担保补助</w:t>
          </w:r>
          <w:r>
            <w:rPr>
              <w:rFonts w:hint="eastAsia" w:ascii="黑体" w:hAnsi="黑体" w:eastAsia="黑体" w:cs="黑体"/>
              <w:bCs w:val="0"/>
              <w:sz w:val="24"/>
              <w:szCs w:val="24"/>
              <w:highlight w:val="none"/>
              <w:lang w:val="en" w:eastAsia="zh-CN"/>
            </w:rPr>
            <w:t>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_Toc22244 \h </w:instrText>
          </w:r>
          <w:r>
            <w:rPr>
              <w:rFonts w:hint="eastAsia" w:ascii="黑体" w:hAnsi="黑体" w:eastAsia="黑体" w:cs="黑体"/>
              <w:sz w:val="24"/>
              <w:szCs w:val="24"/>
            </w:rPr>
            <w:fldChar w:fldCharType="separate"/>
          </w:r>
          <w:r>
            <w:rPr>
              <w:rFonts w:hint="eastAsia" w:ascii="黑体" w:hAnsi="黑体" w:eastAsia="黑体" w:cs="黑体"/>
              <w:sz w:val="24"/>
              <w:szCs w:val="24"/>
            </w:rPr>
            <w:t>39</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_Toc19851 </w:instrText>
          </w:r>
          <w:r>
            <w:rPr>
              <w:rFonts w:hint="eastAsia" w:ascii="黑体" w:hAnsi="黑体" w:eastAsia="黑体" w:cs="黑体"/>
              <w:bCs/>
              <w:sz w:val="24"/>
              <w:szCs w:val="24"/>
              <w:lang w:val="zh-CN"/>
            </w:rPr>
            <w:fldChar w:fldCharType="separate"/>
          </w:r>
          <w:r>
            <w:rPr>
              <w:rFonts w:hint="eastAsia" w:ascii="黑体" w:hAnsi="黑体" w:eastAsia="黑体" w:cs="黑体"/>
              <w:sz w:val="24"/>
              <w:szCs w:val="24"/>
            </w:rPr>
            <w:t>第二篇：资本市场篇</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_Toc19851 \h </w:instrText>
          </w:r>
          <w:r>
            <w:rPr>
              <w:rFonts w:hint="eastAsia" w:ascii="黑体" w:hAnsi="黑体" w:eastAsia="黑体" w:cs="黑体"/>
              <w:sz w:val="24"/>
              <w:szCs w:val="24"/>
            </w:rPr>
            <w:fldChar w:fldCharType="separate"/>
          </w:r>
          <w:r>
            <w:rPr>
              <w:rFonts w:hint="eastAsia" w:ascii="黑体" w:hAnsi="黑体" w:eastAsia="黑体" w:cs="黑体"/>
              <w:sz w:val="24"/>
              <w:szCs w:val="24"/>
            </w:rPr>
            <w:t>41</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_Toc18733 </w:instrText>
          </w:r>
          <w:r>
            <w:rPr>
              <w:rFonts w:hint="eastAsia" w:ascii="黑体" w:hAnsi="黑体" w:eastAsia="黑体" w:cs="黑体"/>
              <w:bCs/>
              <w:sz w:val="24"/>
              <w:szCs w:val="24"/>
              <w:lang w:val="zh-CN"/>
            </w:rPr>
            <w:fldChar w:fldCharType="separate"/>
          </w:r>
          <w:r>
            <w:rPr>
              <w:rFonts w:hint="eastAsia" w:ascii="黑体" w:hAnsi="黑体" w:eastAsia="黑体" w:cs="黑体"/>
              <w:sz w:val="24"/>
              <w:szCs w:val="24"/>
            </w:rPr>
            <w:t>支持企业上市挂牌十条措施</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_Toc18733 \h </w:instrText>
          </w:r>
          <w:r>
            <w:rPr>
              <w:rFonts w:hint="eastAsia" w:ascii="黑体" w:hAnsi="黑体" w:eastAsia="黑体" w:cs="黑体"/>
              <w:sz w:val="24"/>
              <w:szCs w:val="24"/>
            </w:rPr>
            <w:fldChar w:fldCharType="separate"/>
          </w:r>
          <w:r>
            <w:rPr>
              <w:rFonts w:hint="eastAsia" w:ascii="黑体" w:hAnsi="黑体" w:eastAsia="黑体" w:cs="黑体"/>
              <w:sz w:val="24"/>
              <w:szCs w:val="24"/>
            </w:rPr>
            <w:t>42</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_Toc15349 </w:instrText>
          </w:r>
          <w:r>
            <w:rPr>
              <w:rFonts w:hint="eastAsia" w:ascii="黑体" w:hAnsi="黑体" w:eastAsia="黑体" w:cs="黑体"/>
              <w:bCs/>
              <w:sz w:val="24"/>
              <w:szCs w:val="24"/>
              <w:lang w:val="zh-CN"/>
            </w:rPr>
            <w:fldChar w:fldCharType="separate"/>
          </w:r>
          <w:r>
            <w:rPr>
              <w:rFonts w:hint="eastAsia" w:ascii="黑体" w:hAnsi="黑体" w:eastAsia="黑体" w:cs="黑体"/>
              <w:sz w:val="24"/>
              <w:szCs w:val="24"/>
              <w:lang w:eastAsia="zh-CN"/>
            </w:rPr>
            <w:t>山东省多层次资本市场补助政策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_Toc15349 \h </w:instrText>
          </w:r>
          <w:r>
            <w:rPr>
              <w:rFonts w:hint="eastAsia" w:ascii="黑体" w:hAnsi="黑体" w:eastAsia="黑体" w:cs="黑体"/>
              <w:sz w:val="24"/>
              <w:szCs w:val="24"/>
            </w:rPr>
            <w:fldChar w:fldCharType="separate"/>
          </w:r>
          <w:r>
            <w:rPr>
              <w:rFonts w:hint="eastAsia" w:ascii="黑体" w:hAnsi="黑体" w:eastAsia="黑体" w:cs="黑体"/>
              <w:sz w:val="24"/>
              <w:szCs w:val="24"/>
            </w:rPr>
            <w:t>44</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_Toc25927 </w:instrText>
          </w:r>
          <w:r>
            <w:rPr>
              <w:rFonts w:hint="eastAsia" w:ascii="黑体" w:hAnsi="黑体" w:eastAsia="黑体" w:cs="黑体"/>
              <w:bCs/>
              <w:sz w:val="24"/>
              <w:szCs w:val="24"/>
              <w:lang w:val="zh-CN"/>
            </w:rPr>
            <w:fldChar w:fldCharType="separate"/>
          </w:r>
          <w:r>
            <w:rPr>
              <w:rFonts w:hint="eastAsia" w:ascii="黑体" w:hAnsi="黑体" w:eastAsia="黑体" w:cs="黑体"/>
              <w:sz w:val="24"/>
              <w:szCs w:val="24"/>
              <w:lang w:val="en-US" w:eastAsia="zh-CN"/>
            </w:rPr>
            <w:t>支持工商资本投资农业农村财政奖补政策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_Toc25927 \h </w:instrText>
          </w:r>
          <w:r>
            <w:rPr>
              <w:rFonts w:hint="eastAsia" w:ascii="黑体" w:hAnsi="黑体" w:eastAsia="黑体" w:cs="黑体"/>
              <w:sz w:val="24"/>
              <w:szCs w:val="24"/>
            </w:rPr>
            <w:fldChar w:fldCharType="separate"/>
          </w:r>
          <w:r>
            <w:rPr>
              <w:rFonts w:hint="eastAsia" w:ascii="黑体" w:hAnsi="黑体" w:eastAsia="黑体" w:cs="黑体"/>
              <w:sz w:val="24"/>
              <w:szCs w:val="24"/>
            </w:rPr>
            <w:t>46</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_Toc3139 </w:instrText>
          </w:r>
          <w:r>
            <w:rPr>
              <w:rFonts w:hint="eastAsia" w:ascii="黑体" w:hAnsi="黑体" w:eastAsia="黑体" w:cs="黑体"/>
              <w:bCs/>
              <w:sz w:val="24"/>
              <w:szCs w:val="24"/>
              <w:lang w:val="zh-CN"/>
            </w:rPr>
            <w:fldChar w:fldCharType="separate"/>
          </w:r>
          <w:r>
            <w:rPr>
              <w:rFonts w:hint="eastAsia" w:ascii="黑体" w:hAnsi="黑体" w:eastAsia="黑体" w:cs="黑体"/>
              <w:sz w:val="24"/>
              <w:szCs w:val="24"/>
            </w:rPr>
            <w:t>第三篇：保险篇</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_Toc3139 \h </w:instrText>
          </w:r>
          <w:r>
            <w:rPr>
              <w:rFonts w:hint="eastAsia" w:ascii="黑体" w:hAnsi="黑体" w:eastAsia="黑体" w:cs="黑体"/>
              <w:sz w:val="24"/>
              <w:szCs w:val="24"/>
            </w:rPr>
            <w:fldChar w:fldCharType="separate"/>
          </w:r>
          <w:r>
            <w:rPr>
              <w:rFonts w:hint="eastAsia" w:ascii="黑体" w:hAnsi="黑体" w:eastAsia="黑体" w:cs="黑体"/>
              <w:sz w:val="24"/>
              <w:szCs w:val="24"/>
            </w:rPr>
            <w:t>49</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_Toc30370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eastAsia="zh-CN"/>
            </w:rPr>
            <w:t>发挥保险保障功能支持纾困政策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_Toc30370 \h </w:instrText>
          </w:r>
          <w:r>
            <w:rPr>
              <w:rFonts w:hint="eastAsia" w:ascii="黑体" w:hAnsi="黑体" w:eastAsia="黑体" w:cs="黑体"/>
              <w:sz w:val="24"/>
              <w:szCs w:val="24"/>
            </w:rPr>
            <w:fldChar w:fldCharType="separate"/>
          </w:r>
          <w:r>
            <w:rPr>
              <w:rFonts w:hint="eastAsia" w:ascii="黑体" w:hAnsi="黑体" w:eastAsia="黑体" w:cs="黑体"/>
              <w:sz w:val="24"/>
              <w:szCs w:val="24"/>
            </w:rPr>
            <w:t>50</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_Toc253 </w:instrText>
          </w:r>
          <w:r>
            <w:rPr>
              <w:rFonts w:hint="eastAsia" w:ascii="黑体" w:hAnsi="黑体" w:eastAsia="黑体" w:cs="黑体"/>
              <w:bCs/>
              <w:sz w:val="24"/>
              <w:szCs w:val="24"/>
              <w:lang w:val="zh-CN"/>
            </w:rPr>
            <w:fldChar w:fldCharType="separate"/>
          </w:r>
          <w:r>
            <w:rPr>
              <w:rFonts w:hint="eastAsia" w:ascii="黑体" w:hAnsi="黑体" w:eastAsia="黑体" w:cs="黑体"/>
              <w:sz w:val="24"/>
              <w:szCs w:val="24"/>
              <w:highlight w:val="none"/>
            </w:rPr>
            <w:t>中小微企业专利权质押贷款保险保费补贴</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_Toc253 \h </w:instrText>
          </w:r>
          <w:r>
            <w:rPr>
              <w:rFonts w:hint="eastAsia" w:ascii="黑体" w:hAnsi="黑体" w:eastAsia="黑体" w:cs="黑体"/>
              <w:sz w:val="24"/>
              <w:szCs w:val="24"/>
            </w:rPr>
            <w:fldChar w:fldCharType="separate"/>
          </w:r>
          <w:r>
            <w:rPr>
              <w:rFonts w:hint="eastAsia" w:ascii="黑体" w:hAnsi="黑体" w:eastAsia="黑体" w:cs="黑体"/>
              <w:sz w:val="24"/>
              <w:szCs w:val="24"/>
            </w:rPr>
            <w:t>53</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_Toc3897 </w:instrText>
          </w:r>
          <w:r>
            <w:rPr>
              <w:rFonts w:hint="eastAsia" w:ascii="黑体" w:hAnsi="黑体" w:eastAsia="黑体" w:cs="黑体"/>
              <w:bCs/>
              <w:sz w:val="24"/>
              <w:szCs w:val="24"/>
              <w:lang w:val="zh-CN"/>
            </w:rPr>
            <w:fldChar w:fldCharType="separate"/>
          </w:r>
          <w:r>
            <w:rPr>
              <w:rFonts w:hint="eastAsia" w:ascii="黑体" w:hAnsi="黑体" w:eastAsia="黑体" w:cs="黑体"/>
              <w:sz w:val="24"/>
              <w:szCs w:val="24"/>
              <w:highlight w:val="none"/>
            </w:rPr>
            <w:t>山东省企业知识产保险扶持项目</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_Toc3897 \h </w:instrText>
          </w:r>
          <w:r>
            <w:rPr>
              <w:rFonts w:hint="eastAsia" w:ascii="黑体" w:hAnsi="黑体" w:eastAsia="黑体" w:cs="黑体"/>
              <w:sz w:val="24"/>
              <w:szCs w:val="24"/>
            </w:rPr>
            <w:fldChar w:fldCharType="separate"/>
          </w:r>
          <w:r>
            <w:rPr>
              <w:rFonts w:hint="eastAsia" w:ascii="黑体" w:hAnsi="黑体" w:eastAsia="黑体" w:cs="黑体"/>
              <w:sz w:val="24"/>
              <w:szCs w:val="24"/>
            </w:rPr>
            <w:t>55</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_Toc32656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US" w:eastAsia="zh-CN"/>
            </w:rPr>
            <w:t>大闸蟹养殖气象指数保险</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_Toc32656 \h </w:instrText>
          </w:r>
          <w:r>
            <w:rPr>
              <w:rFonts w:hint="eastAsia" w:ascii="黑体" w:hAnsi="黑体" w:eastAsia="黑体" w:cs="黑体"/>
              <w:sz w:val="24"/>
              <w:szCs w:val="24"/>
            </w:rPr>
            <w:fldChar w:fldCharType="separate"/>
          </w:r>
          <w:r>
            <w:rPr>
              <w:rFonts w:hint="eastAsia" w:ascii="黑体" w:hAnsi="黑体" w:eastAsia="黑体" w:cs="黑体"/>
              <w:sz w:val="24"/>
              <w:szCs w:val="24"/>
            </w:rPr>
            <w:t>59</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_Toc13463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US" w:eastAsia="zh-CN"/>
            </w:rPr>
            <w:t>海参养殖气象指数保险</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_Toc13463 \h </w:instrText>
          </w:r>
          <w:r>
            <w:rPr>
              <w:rFonts w:hint="eastAsia" w:ascii="黑体" w:hAnsi="黑体" w:eastAsia="黑体" w:cs="黑体"/>
              <w:sz w:val="24"/>
              <w:szCs w:val="24"/>
            </w:rPr>
            <w:fldChar w:fldCharType="separate"/>
          </w:r>
          <w:r>
            <w:rPr>
              <w:rFonts w:hint="eastAsia" w:ascii="黑体" w:hAnsi="黑体" w:eastAsia="黑体" w:cs="黑体"/>
              <w:sz w:val="24"/>
              <w:szCs w:val="24"/>
            </w:rPr>
            <w:t>63</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_Toc15822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US" w:eastAsia="zh-CN"/>
            </w:rPr>
            <w:t>政策性畜牧业保险</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_Toc15822 \h </w:instrText>
          </w:r>
          <w:r>
            <w:rPr>
              <w:rFonts w:hint="eastAsia" w:ascii="黑体" w:hAnsi="黑体" w:eastAsia="黑体" w:cs="黑体"/>
              <w:sz w:val="24"/>
              <w:szCs w:val="24"/>
            </w:rPr>
            <w:fldChar w:fldCharType="separate"/>
          </w:r>
          <w:r>
            <w:rPr>
              <w:rFonts w:hint="eastAsia" w:ascii="黑体" w:hAnsi="黑体" w:eastAsia="黑体" w:cs="黑体"/>
              <w:sz w:val="24"/>
              <w:szCs w:val="24"/>
            </w:rPr>
            <w:t>66</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_Toc14834 </w:instrText>
          </w:r>
          <w:r>
            <w:rPr>
              <w:rFonts w:hint="eastAsia" w:ascii="黑体" w:hAnsi="黑体" w:eastAsia="黑体" w:cs="黑体"/>
              <w:bCs/>
              <w:sz w:val="24"/>
              <w:szCs w:val="24"/>
              <w:lang w:val="zh-CN"/>
            </w:rPr>
            <w:fldChar w:fldCharType="separate"/>
          </w:r>
          <w:r>
            <w:rPr>
              <w:rFonts w:hint="eastAsia" w:ascii="黑体" w:hAnsi="黑体" w:eastAsia="黑体" w:cs="黑体"/>
              <w:sz w:val="24"/>
              <w:szCs w:val="24"/>
            </w:rPr>
            <w:t>第</w:t>
          </w:r>
          <w:r>
            <w:rPr>
              <w:rFonts w:hint="eastAsia" w:ascii="黑体" w:hAnsi="黑体" w:eastAsia="黑体" w:cs="黑体"/>
              <w:sz w:val="24"/>
              <w:szCs w:val="24"/>
              <w:lang w:eastAsia="zh-CN"/>
            </w:rPr>
            <w:t>四</w:t>
          </w:r>
          <w:r>
            <w:rPr>
              <w:rFonts w:hint="eastAsia" w:ascii="黑体" w:hAnsi="黑体" w:eastAsia="黑体" w:cs="黑体"/>
              <w:sz w:val="24"/>
              <w:szCs w:val="24"/>
            </w:rPr>
            <w:t>篇：</w:t>
          </w:r>
          <w:r>
            <w:rPr>
              <w:rFonts w:hint="eastAsia" w:ascii="黑体" w:hAnsi="黑体" w:eastAsia="黑体" w:cs="黑体"/>
              <w:sz w:val="24"/>
              <w:szCs w:val="24"/>
              <w:lang w:eastAsia="zh-CN"/>
            </w:rPr>
            <w:t>担保</w:t>
          </w:r>
          <w:r>
            <w:rPr>
              <w:rFonts w:hint="eastAsia" w:ascii="黑体" w:hAnsi="黑体" w:eastAsia="黑体" w:cs="黑体"/>
              <w:sz w:val="24"/>
              <w:szCs w:val="24"/>
            </w:rPr>
            <w:t>篇</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_Toc14834 \h </w:instrText>
          </w:r>
          <w:r>
            <w:rPr>
              <w:rFonts w:hint="eastAsia" w:ascii="黑体" w:hAnsi="黑体" w:eastAsia="黑体" w:cs="黑体"/>
              <w:sz w:val="24"/>
              <w:szCs w:val="24"/>
            </w:rPr>
            <w:fldChar w:fldCharType="separate"/>
          </w:r>
          <w:r>
            <w:rPr>
              <w:rFonts w:hint="eastAsia" w:ascii="黑体" w:hAnsi="黑体" w:eastAsia="黑体" w:cs="黑体"/>
              <w:sz w:val="24"/>
              <w:szCs w:val="24"/>
            </w:rPr>
            <w:t>70</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_Toc3094 </w:instrText>
          </w:r>
          <w:r>
            <w:rPr>
              <w:rFonts w:hint="eastAsia" w:ascii="黑体" w:hAnsi="黑体" w:eastAsia="黑体" w:cs="黑体"/>
              <w:bCs/>
              <w:sz w:val="24"/>
              <w:szCs w:val="24"/>
              <w:lang w:val="zh-CN"/>
            </w:rPr>
            <w:fldChar w:fldCharType="separate"/>
          </w:r>
          <w:r>
            <w:rPr>
              <w:rFonts w:hint="eastAsia" w:ascii="黑体" w:hAnsi="黑体" w:eastAsia="黑体" w:cs="黑体"/>
              <w:sz w:val="24"/>
              <w:szCs w:val="24"/>
            </w:rPr>
            <w:t>政府性融资担保机构支持小微和“三农”</w:t>
          </w:r>
          <w:r>
            <w:rPr>
              <w:rFonts w:hint="eastAsia" w:ascii="黑体" w:hAnsi="黑体" w:eastAsia="黑体" w:cs="黑体"/>
              <w:sz w:val="24"/>
              <w:szCs w:val="24"/>
              <w:lang w:val="en-US" w:eastAsia="zh-CN"/>
            </w:rPr>
            <w:t>融资的“见贷即担”政策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_Toc3094 \h </w:instrText>
          </w:r>
          <w:r>
            <w:rPr>
              <w:rFonts w:hint="eastAsia" w:ascii="黑体" w:hAnsi="黑体" w:eastAsia="黑体" w:cs="黑体"/>
              <w:sz w:val="24"/>
              <w:szCs w:val="24"/>
            </w:rPr>
            <w:fldChar w:fldCharType="separate"/>
          </w:r>
          <w:r>
            <w:rPr>
              <w:rFonts w:hint="eastAsia" w:ascii="黑体" w:hAnsi="黑体" w:eastAsia="黑体" w:cs="黑体"/>
              <w:sz w:val="24"/>
              <w:szCs w:val="24"/>
            </w:rPr>
            <w:t>71</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_Toc10716 </w:instrText>
          </w:r>
          <w:r>
            <w:rPr>
              <w:rFonts w:hint="eastAsia" w:ascii="黑体" w:hAnsi="黑体" w:eastAsia="黑体" w:cs="黑体"/>
              <w:bCs/>
              <w:sz w:val="24"/>
              <w:szCs w:val="24"/>
              <w:lang w:val="zh-CN"/>
            </w:rPr>
            <w:fldChar w:fldCharType="separate"/>
          </w:r>
          <w:r>
            <w:rPr>
              <w:rFonts w:hint="eastAsia" w:ascii="黑体" w:hAnsi="黑体" w:eastAsia="黑体" w:cs="黑体"/>
              <w:sz w:val="24"/>
              <w:szCs w:val="24"/>
            </w:rPr>
            <w:t>政府性融资担保机构风险补偿担保补助及资本金补充资金管理办法</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_Toc10716 \h </w:instrText>
          </w:r>
          <w:r>
            <w:rPr>
              <w:rFonts w:hint="eastAsia" w:ascii="黑体" w:hAnsi="黑体" w:eastAsia="黑体" w:cs="黑体"/>
              <w:sz w:val="24"/>
              <w:szCs w:val="24"/>
            </w:rPr>
            <w:fldChar w:fldCharType="separate"/>
          </w:r>
          <w:r>
            <w:rPr>
              <w:rFonts w:hint="eastAsia" w:ascii="黑体" w:hAnsi="黑体" w:eastAsia="黑体" w:cs="黑体"/>
              <w:sz w:val="24"/>
              <w:szCs w:val="24"/>
            </w:rPr>
            <w:t>74</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_Toc16246 </w:instrText>
          </w:r>
          <w:r>
            <w:rPr>
              <w:rFonts w:hint="eastAsia" w:ascii="黑体" w:hAnsi="黑体" w:eastAsia="黑体" w:cs="黑体"/>
              <w:bCs/>
              <w:sz w:val="24"/>
              <w:szCs w:val="24"/>
              <w:lang w:val="zh-CN"/>
            </w:rPr>
            <w:fldChar w:fldCharType="separate"/>
          </w:r>
          <w:r>
            <w:rPr>
              <w:rFonts w:hint="eastAsia" w:ascii="黑体" w:hAnsi="黑体" w:eastAsia="黑体" w:cs="黑体"/>
              <w:sz w:val="24"/>
              <w:szCs w:val="24"/>
              <w:lang w:val="en-US" w:eastAsia="zh-CN"/>
            </w:rPr>
            <w:t>政策性农业信贷担保</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_Toc16246 \h </w:instrText>
          </w:r>
          <w:r>
            <w:rPr>
              <w:rFonts w:hint="eastAsia" w:ascii="黑体" w:hAnsi="黑体" w:eastAsia="黑体" w:cs="黑体"/>
              <w:sz w:val="24"/>
              <w:szCs w:val="24"/>
            </w:rPr>
            <w:fldChar w:fldCharType="separate"/>
          </w:r>
          <w:r>
            <w:rPr>
              <w:rFonts w:hint="eastAsia" w:ascii="黑体" w:hAnsi="黑体" w:eastAsia="黑体" w:cs="黑体"/>
              <w:sz w:val="24"/>
              <w:szCs w:val="24"/>
            </w:rPr>
            <w:t>77</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_Toc12434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US" w:eastAsia="zh-CN"/>
            </w:rPr>
            <w:t>小微企业融资担保业务降费奖补政策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_Toc12434 \h </w:instrText>
          </w:r>
          <w:r>
            <w:rPr>
              <w:rFonts w:hint="eastAsia" w:ascii="黑体" w:hAnsi="黑体" w:eastAsia="黑体" w:cs="黑体"/>
              <w:sz w:val="24"/>
              <w:szCs w:val="24"/>
            </w:rPr>
            <w:fldChar w:fldCharType="separate"/>
          </w:r>
          <w:r>
            <w:rPr>
              <w:rFonts w:hint="eastAsia" w:ascii="黑体" w:hAnsi="黑体" w:eastAsia="黑体" w:cs="黑体"/>
              <w:sz w:val="24"/>
              <w:szCs w:val="24"/>
            </w:rPr>
            <w:t>80</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_Toc12121 </w:instrText>
          </w:r>
          <w:r>
            <w:rPr>
              <w:rFonts w:hint="eastAsia" w:ascii="黑体" w:hAnsi="黑体" w:eastAsia="黑体" w:cs="黑体"/>
              <w:bCs/>
              <w:sz w:val="24"/>
              <w:szCs w:val="24"/>
              <w:lang w:val="zh-CN"/>
            </w:rPr>
            <w:fldChar w:fldCharType="separate"/>
          </w:r>
          <w:r>
            <w:rPr>
              <w:rFonts w:hint="eastAsia" w:ascii="黑体" w:hAnsi="黑体" w:eastAsia="黑体" w:cs="黑体"/>
              <w:sz w:val="24"/>
              <w:szCs w:val="24"/>
              <w:lang w:val="en-US" w:eastAsia="zh-CN"/>
            </w:rPr>
            <w:t>第五篇</w:t>
          </w:r>
          <w:r>
            <w:rPr>
              <w:rFonts w:hint="eastAsia" w:ascii="黑体" w:hAnsi="黑体" w:eastAsia="黑体" w:cs="黑体"/>
              <w:sz w:val="24"/>
              <w:szCs w:val="24"/>
            </w:rPr>
            <w:t xml:space="preserve"> </w:t>
          </w:r>
          <w:r>
            <w:rPr>
              <w:rFonts w:hint="eastAsia" w:ascii="黑体" w:hAnsi="黑体" w:eastAsia="黑体" w:cs="黑体"/>
              <w:sz w:val="24"/>
              <w:szCs w:val="24"/>
              <w:lang w:eastAsia="zh-CN"/>
            </w:rPr>
            <w:t>其他</w:t>
          </w:r>
          <w:r>
            <w:rPr>
              <w:rFonts w:hint="eastAsia" w:ascii="黑体" w:hAnsi="黑体" w:eastAsia="黑体" w:cs="黑体"/>
              <w:sz w:val="24"/>
              <w:szCs w:val="24"/>
              <w:lang w:val="en-US" w:eastAsia="zh-CN"/>
            </w:rPr>
            <w:t>政策措施</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_Toc12121 \h </w:instrText>
          </w:r>
          <w:r>
            <w:rPr>
              <w:rFonts w:hint="eastAsia" w:ascii="黑体" w:hAnsi="黑体" w:eastAsia="黑体" w:cs="黑体"/>
              <w:sz w:val="24"/>
              <w:szCs w:val="24"/>
            </w:rPr>
            <w:fldChar w:fldCharType="separate"/>
          </w:r>
          <w:r>
            <w:rPr>
              <w:rFonts w:hint="eastAsia" w:ascii="黑体" w:hAnsi="黑体" w:eastAsia="黑体" w:cs="黑体"/>
              <w:sz w:val="24"/>
              <w:szCs w:val="24"/>
            </w:rPr>
            <w:t>81</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_Toc27487 </w:instrText>
          </w:r>
          <w:r>
            <w:rPr>
              <w:rFonts w:hint="eastAsia" w:ascii="黑体" w:hAnsi="黑体" w:eastAsia="黑体" w:cs="黑体"/>
              <w:bCs/>
              <w:sz w:val="24"/>
              <w:szCs w:val="24"/>
              <w:lang w:val="zh-CN"/>
            </w:rPr>
            <w:fldChar w:fldCharType="separate"/>
          </w:r>
          <w:r>
            <w:rPr>
              <w:rFonts w:hint="eastAsia" w:ascii="黑体" w:hAnsi="黑体" w:eastAsia="黑体" w:cs="黑体"/>
              <w:bCs/>
              <w:sz w:val="24"/>
              <w:szCs w:val="24"/>
            </w:rPr>
            <w:t>碳减排支持工具政策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_Toc27487 \h </w:instrText>
          </w:r>
          <w:r>
            <w:rPr>
              <w:rFonts w:hint="eastAsia" w:ascii="黑体" w:hAnsi="黑体" w:eastAsia="黑体" w:cs="黑体"/>
              <w:sz w:val="24"/>
              <w:szCs w:val="24"/>
            </w:rPr>
            <w:fldChar w:fldCharType="separate"/>
          </w:r>
          <w:r>
            <w:rPr>
              <w:rFonts w:hint="eastAsia" w:ascii="黑体" w:hAnsi="黑体" w:eastAsia="黑体" w:cs="黑体"/>
              <w:sz w:val="24"/>
              <w:szCs w:val="24"/>
            </w:rPr>
            <w:t>82</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_Toc16938 </w:instrText>
          </w:r>
          <w:r>
            <w:rPr>
              <w:rFonts w:hint="eastAsia" w:ascii="黑体" w:hAnsi="黑体" w:eastAsia="黑体" w:cs="黑体"/>
              <w:bCs/>
              <w:sz w:val="24"/>
              <w:szCs w:val="24"/>
              <w:lang w:val="zh-CN"/>
            </w:rPr>
            <w:fldChar w:fldCharType="separate"/>
          </w:r>
          <w:r>
            <w:rPr>
              <w:rFonts w:hint="eastAsia" w:ascii="黑体" w:hAnsi="黑体" w:eastAsia="黑体" w:cs="黑体"/>
              <w:bCs/>
              <w:sz w:val="24"/>
              <w:szCs w:val="24"/>
            </w:rPr>
            <w:t>支持煤炭清洁高效利用专项再贷款政策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_Toc16938 \h </w:instrText>
          </w:r>
          <w:r>
            <w:rPr>
              <w:rFonts w:hint="eastAsia" w:ascii="黑体" w:hAnsi="黑体" w:eastAsia="黑体" w:cs="黑体"/>
              <w:sz w:val="24"/>
              <w:szCs w:val="24"/>
            </w:rPr>
            <w:fldChar w:fldCharType="separate"/>
          </w:r>
          <w:r>
            <w:rPr>
              <w:rFonts w:hint="eastAsia" w:ascii="黑体" w:hAnsi="黑体" w:eastAsia="黑体" w:cs="黑体"/>
              <w:sz w:val="24"/>
              <w:szCs w:val="24"/>
            </w:rPr>
            <w:t>86</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_Toc16744 </w:instrText>
          </w:r>
          <w:r>
            <w:rPr>
              <w:rFonts w:hint="eastAsia" w:ascii="黑体" w:hAnsi="黑体" w:eastAsia="黑体" w:cs="黑体"/>
              <w:bCs/>
              <w:sz w:val="24"/>
              <w:szCs w:val="24"/>
              <w:lang w:val="zh-CN"/>
            </w:rPr>
            <w:fldChar w:fldCharType="separate"/>
          </w:r>
          <w:r>
            <w:rPr>
              <w:rFonts w:hint="eastAsia" w:ascii="黑体" w:hAnsi="黑体" w:eastAsia="黑体" w:cs="黑体"/>
              <w:bCs/>
              <w:sz w:val="24"/>
              <w:szCs w:val="24"/>
            </w:rPr>
            <w:t>科技创新专项再贷款政策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_Toc16744 \h </w:instrText>
          </w:r>
          <w:r>
            <w:rPr>
              <w:rFonts w:hint="eastAsia" w:ascii="黑体" w:hAnsi="黑体" w:eastAsia="黑体" w:cs="黑体"/>
              <w:sz w:val="24"/>
              <w:szCs w:val="24"/>
            </w:rPr>
            <w:fldChar w:fldCharType="separate"/>
          </w:r>
          <w:r>
            <w:rPr>
              <w:rFonts w:hint="eastAsia" w:ascii="黑体" w:hAnsi="黑体" w:eastAsia="黑体" w:cs="黑体"/>
              <w:sz w:val="24"/>
              <w:szCs w:val="24"/>
            </w:rPr>
            <w:t>88</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_Toc6047 </w:instrText>
          </w:r>
          <w:r>
            <w:rPr>
              <w:rFonts w:hint="eastAsia" w:ascii="黑体" w:hAnsi="黑体" w:eastAsia="黑体" w:cs="黑体"/>
              <w:bCs/>
              <w:sz w:val="24"/>
              <w:szCs w:val="24"/>
              <w:lang w:val="zh-CN"/>
            </w:rPr>
            <w:fldChar w:fldCharType="separate"/>
          </w:r>
          <w:r>
            <w:rPr>
              <w:rFonts w:hint="eastAsia" w:ascii="黑体" w:hAnsi="黑体" w:eastAsia="黑体" w:cs="黑体"/>
              <w:bCs/>
              <w:sz w:val="24"/>
              <w:szCs w:val="24"/>
            </w:rPr>
            <w:t>交通物流专项再贷款</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_Toc6047 \h </w:instrText>
          </w:r>
          <w:r>
            <w:rPr>
              <w:rFonts w:hint="eastAsia" w:ascii="黑体" w:hAnsi="黑体" w:eastAsia="黑体" w:cs="黑体"/>
              <w:sz w:val="24"/>
              <w:szCs w:val="24"/>
            </w:rPr>
            <w:fldChar w:fldCharType="separate"/>
          </w:r>
          <w:r>
            <w:rPr>
              <w:rFonts w:hint="eastAsia" w:ascii="黑体" w:hAnsi="黑体" w:eastAsia="黑体" w:cs="黑体"/>
              <w:sz w:val="24"/>
              <w:szCs w:val="24"/>
            </w:rPr>
            <w:t>90</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_Toc8368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rPr>
            <w:t>再贴现科创引导政策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_Toc8368 \h </w:instrText>
          </w:r>
          <w:r>
            <w:rPr>
              <w:rFonts w:hint="eastAsia" w:ascii="黑体" w:hAnsi="黑体" w:eastAsia="黑体" w:cs="黑体"/>
              <w:sz w:val="24"/>
              <w:szCs w:val="24"/>
            </w:rPr>
            <w:fldChar w:fldCharType="separate"/>
          </w:r>
          <w:r>
            <w:rPr>
              <w:rFonts w:hint="eastAsia" w:ascii="黑体" w:hAnsi="黑体" w:eastAsia="黑体" w:cs="黑体"/>
              <w:sz w:val="24"/>
              <w:szCs w:val="24"/>
            </w:rPr>
            <w:t>92</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_Toc30532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rPr>
            <w:t>再贴现减碳引导政策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_Toc30532 \h </w:instrText>
          </w:r>
          <w:r>
            <w:rPr>
              <w:rFonts w:hint="eastAsia" w:ascii="黑体" w:hAnsi="黑体" w:eastAsia="黑体" w:cs="黑体"/>
              <w:sz w:val="24"/>
              <w:szCs w:val="24"/>
            </w:rPr>
            <w:fldChar w:fldCharType="separate"/>
          </w:r>
          <w:r>
            <w:rPr>
              <w:rFonts w:hint="eastAsia" w:ascii="黑体" w:hAnsi="黑体" w:eastAsia="黑体" w:cs="黑体"/>
              <w:sz w:val="24"/>
              <w:szCs w:val="24"/>
            </w:rPr>
            <w:t>95</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_Toc1185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rPr>
            <w:t>再贴现“专精特新”专项引导政策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_Toc1185 \h </w:instrText>
          </w:r>
          <w:r>
            <w:rPr>
              <w:rFonts w:hint="eastAsia" w:ascii="黑体" w:hAnsi="黑体" w:eastAsia="黑体" w:cs="黑体"/>
              <w:sz w:val="24"/>
              <w:szCs w:val="24"/>
            </w:rPr>
            <w:fldChar w:fldCharType="separate"/>
          </w:r>
          <w:r>
            <w:rPr>
              <w:rFonts w:hint="eastAsia" w:ascii="黑体" w:hAnsi="黑体" w:eastAsia="黑体" w:cs="黑体"/>
              <w:sz w:val="24"/>
              <w:szCs w:val="24"/>
            </w:rPr>
            <w:t>98</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_Toc13800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rPr>
            <w:t>再贴现交通物流专项引导政策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_Toc13800 \h </w:instrText>
          </w:r>
          <w:r>
            <w:rPr>
              <w:rFonts w:hint="eastAsia" w:ascii="黑体" w:hAnsi="黑体" w:eastAsia="黑体" w:cs="黑体"/>
              <w:sz w:val="24"/>
              <w:szCs w:val="24"/>
            </w:rPr>
            <w:fldChar w:fldCharType="separate"/>
          </w:r>
          <w:r>
            <w:rPr>
              <w:rFonts w:hint="eastAsia" w:ascii="黑体" w:hAnsi="黑体" w:eastAsia="黑体" w:cs="黑体"/>
              <w:sz w:val="24"/>
              <w:szCs w:val="24"/>
            </w:rPr>
            <w:t>101</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_Toc12266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
            </w:rPr>
            <w:t>生态环保金融支持项目管理系统</w:t>
          </w:r>
          <w:r>
            <w:rPr>
              <w:rFonts w:hint="eastAsia" w:ascii="黑体" w:hAnsi="黑体" w:eastAsia="黑体" w:cs="黑体"/>
              <w:bCs w:val="0"/>
              <w:sz w:val="24"/>
              <w:szCs w:val="24"/>
              <w:lang w:val="en-US" w:eastAsia="zh-CN"/>
            </w:rPr>
            <w:t>支持机制</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_Toc12266 \h </w:instrText>
          </w:r>
          <w:r>
            <w:rPr>
              <w:rFonts w:hint="eastAsia" w:ascii="黑体" w:hAnsi="黑体" w:eastAsia="黑体" w:cs="黑体"/>
              <w:sz w:val="24"/>
              <w:szCs w:val="24"/>
            </w:rPr>
            <w:fldChar w:fldCharType="separate"/>
          </w:r>
          <w:r>
            <w:rPr>
              <w:rFonts w:hint="eastAsia" w:ascii="黑体" w:hAnsi="黑体" w:eastAsia="黑体" w:cs="黑体"/>
              <w:sz w:val="24"/>
              <w:szCs w:val="24"/>
            </w:rPr>
            <w:t>104</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_Toc2705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
            </w:rPr>
            <w:t>山东省环保金融项目库</w:t>
          </w:r>
          <w:r>
            <w:rPr>
              <w:rFonts w:hint="eastAsia" w:ascii="黑体" w:hAnsi="黑体" w:eastAsia="黑体" w:cs="黑体"/>
              <w:bCs w:val="0"/>
              <w:sz w:val="24"/>
              <w:szCs w:val="24"/>
              <w:lang w:val="en-US" w:eastAsia="zh-CN"/>
            </w:rPr>
            <w:t>支持机制</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_Toc2705 \h </w:instrText>
          </w:r>
          <w:r>
            <w:rPr>
              <w:rFonts w:hint="eastAsia" w:ascii="黑体" w:hAnsi="黑体" w:eastAsia="黑体" w:cs="黑体"/>
              <w:sz w:val="24"/>
              <w:szCs w:val="24"/>
            </w:rPr>
            <w:fldChar w:fldCharType="separate"/>
          </w:r>
          <w:r>
            <w:rPr>
              <w:rFonts w:hint="eastAsia" w:ascii="黑体" w:hAnsi="黑体" w:eastAsia="黑体" w:cs="黑体"/>
              <w:sz w:val="24"/>
              <w:szCs w:val="24"/>
            </w:rPr>
            <w:t>106</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_Toc2570 </w:instrText>
          </w:r>
          <w:r>
            <w:rPr>
              <w:rFonts w:hint="eastAsia" w:ascii="黑体" w:hAnsi="黑体" w:eastAsia="黑体" w:cs="黑体"/>
              <w:bCs/>
              <w:sz w:val="24"/>
              <w:szCs w:val="24"/>
              <w:lang w:val="zh-CN"/>
            </w:rPr>
            <w:fldChar w:fldCharType="separate"/>
          </w:r>
          <w:r>
            <w:rPr>
              <w:rFonts w:hint="eastAsia" w:ascii="黑体" w:hAnsi="黑体" w:eastAsia="黑体" w:cs="黑体"/>
              <w:bCs/>
              <w:spacing w:val="-16"/>
              <w:sz w:val="24"/>
              <w:szCs w:val="24"/>
              <w:lang w:val="en"/>
            </w:rPr>
            <w:t>信贷支持县城城镇化补短板强弱项政策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_Toc2570 \h </w:instrText>
          </w:r>
          <w:r>
            <w:rPr>
              <w:rFonts w:hint="eastAsia" w:ascii="黑体" w:hAnsi="黑体" w:eastAsia="黑体" w:cs="黑体"/>
              <w:sz w:val="24"/>
              <w:szCs w:val="24"/>
            </w:rPr>
            <w:fldChar w:fldCharType="separate"/>
          </w:r>
          <w:r>
            <w:rPr>
              <w:rFonts w:hint="eastAsia" w:ascii="黑体" w:hAnsi="黑体" w:eastAsia="黑体" w:cs="黑体"/>
              <w:sz w:val="24"/>
              <w:szCs w:val="24"/>
            </w:rPr>
            <w:t>108</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_Toc24839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 w:eastAsia="zh-CN"/>
            </w:rPr>
            <w:t>支持农村金融发展有关税收政策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_Toc24839 \h </w:instrText>
          </w:r>
          <w:r>
            <w:rPr>
              <w:rFonts w:hint="eastAsia" w:ascii="黑体" w:hAnsi="黑体" w:eastAsia="黑体" w:cs="黑体"/>
              <w:sz w:val="24"/>
              <w:szCs w:val="24"/>
            </w:rPr>
            <w:fldChar w:fldCharType="separate"/>
          </w:r>
          <w:r>
            <w:rPr>
              <w:rFonts w:hint="eastAsia" w:ascii="黑体" w:hAnsi="黑体" w:eastAsia="黑体" w:cs="黑体"/>
              <w:sz w:val="24"/>
              <w:szCs w:val="24"/>
            </w:rPr>
            <w:t>112</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_Toc4293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 w:eastAsia="zh-CN"/>
            </w:rPr>
            <w:t>小额贷款公司有关税收政策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_Toc4293 \h </w:instrText>
          </w:r>
          <w:r>
            <w:rPr>
              <w:rFonts w:hint="eastAsia" w:ascii="黑体" w:hAnsi="黑体" w:eastAsia="黑体" w:cs="黑体"/>
              <w:sz w:val="24"/>
              <w:szCs w:val="24"/>
            </w:rPr>
            <w:fldChar w:fldCharType="separate"/>
          </w:r>
          <w:r>
            <w:rPr>
              <w:rFonts w:hint="eastAsia" w:ascii="黑体" w:hAnsi="黑体" w:eastAsia="黑体" w:cs="黑体"/>
              <w:sz w:val="24"/>
              <w:szCs w:val="24"/>
            </w:rPr>
            <w:t>113</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_Toc1177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US" w:eastAsia="zh-CN"/>
            </w:rPr>
            <w:t>支持小微企业融资有关税收政策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_Toc1177 \h </w:instrText>
          </w:r>
          <w:r>
            <w:rPr>
              <w:rFonts w:hint="eastAsia" w:ascii="黑体" w:hAnsi="黑体" w:eastAsia="黑体" w:cs="黑体"/>
              <w:sz w:val="24"/>
              <w:szCs w:val="24"/>
            </w:rPr>
            <w:fldChar w:fldCharType="separate"/>
          </w:r>
          <w:r>
            <w:rPr>
              <w:rFonts w:hint="eastAsia" w:ascii="黑体" w:hAnsi="黑体" w:eastAsia="黑体" w:cs="黑体"/>
              <w:sz w:val="24"/>
              <w:szCs w:val="24"/>
            </w:rPr>
            <w:t>114</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_Toc31846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US" w:eastAsia="zh-CN"/>
            </w:rPr>
            <w:t>金融企业贷款损失准备金企业所得税税前扣除政策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_Toc31846 \h </w:instrText>
          </w:r>
          <w:r>
            <w:rPr>
              <w:rFonts w:hint="eastAsia" w:ascii="黑体" w:hAnsi="黑体" w:eastAsia="黑体" w:cs="黑体"/>
              <w:sz w:val="24"/>
              <w:szCs w:val="24"/>
            </w:rPr>
            <w:fldChar w:fldCharType="separate"/>
          </w:r>
          <w:r>
            <w:rPr>
              <w:rFonts w:hint="eastAsia" w:ascii="黑体" w:hAnsi="黑体" w:eastAsia="黑体" w:cs="黑体"/>
              <w:sz w:val="24"/>
              <w:szCs w:val="24"/>
            </w:rPr>
            <w:t>115</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_Toc17870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US" w:eastAsia="zh-CN"/>
            </w:rPr>
            <w:t>金融企业涉农贷款和中小企业贷款损失准备金税前扣除政策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_Toc17870 \h </w:instrText>
          </w:r>
          <w:r>
            <w:rPr>
              <w:rFonts w:hint="eastAsia" w:ascii="黑体" w:hAnsi="黑体" w:eastAsia="黑体" w:cs="黑体"/>
              <w:sz w:val="24"/>
              <w:szCs w:val="24"/>
            </w:rPr>
            <w:fldChar w:fldCharType="separate"/>
          </w:r>
          <w:r>
            <w:rPr>
              <w:rFonts w:hint="eastAsia" w:ascii="黑体" w:hAnsi="黑体" w:eastAsia="黑体" w:cs="黑体"/>
              <w:sz w:val="24"/>
              <w:szCs w:val="24"/>
            </w:rPr>
            <w:t>116</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_Toc6883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US" w:eastAsia="zh-CN"/>
            </w:rPr>
            <w:t>一年期以上人身保险产品取得的保费收入免征增值税政策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_Toc6883 \h </w:instrText>
          </w:r>
          <w:r>
            <w:rPr>
              <w:rFonts w:hint="eastAsia" w:ascii="黑体" w:hAnsi="黑体" w:eastAsia="黑体" w:cs="黑体"/>
              <w:sz w:val="24"/>
              <w:szCs w:val="24"/>
            </w:rPr>
            <w:fldChar w:fldCharType="separate"/>
          </w:r>
          <w:r>
            <w:rPr>
              <w:rFonts w:hint="eastAsia" w:ascii="黑体" w:hAnsi="黑体" w:eastAsia="黑体" w:cs="黑体"/>
              <w:sz w:val="24"/>
              <w:szCs w:val="24"/>
            </w:rPr>
            <w:t>117</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_Toc30986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US" w:eastAsia="zh-CN"/>
            </w:rPr>
            <w:t>保险公司准备金支出企业所得税税前扣除政策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_Toc30986 \h </w:instrText>
          </w:r>
          <w:r>
            <w:rPr>
              <w:rFonts w:hint="eastAsia" w:ascii="黑体" w:hAnsi="黑体" w:eastAsia="黑体" w:cs="黑体"/>
              <w:sz w:val="24"/>
              <w:szCs w:val="24"/>
            </w:rPr>
            <w:fldChar w:fldCharType="separate"/>
          </w:r>
          <w:r>
            <w:rPr>
              <w:rFonts w:hint="eastAsia" w:ascii="黑体" w:hAnsi="黑体" w:eastAsia="黑体" w:cs="黑体"/>
              <w:sz w:val="24"/>
              <w:szCs w:val="24"/>
            </w:rPr>
            <w:t>118</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480" w:firstLineChars="200"/>
            <w:textAlignment w:val="auto"/>
            <w:rPr>
              <w:rFonts w:hint="eastAsia" w:ascii="黑体" w:hAnsi="黑体" w:eastAsia="黑体" w:cs="黑体"/>
              <w:sz w:val="24"/>
              <w:szCs w:val="24"/>
            </w:rPr>
          </w:pPr>
          <w:r>
            <w:rPr>
              <w:rFonts w:hint="eastAsia" w:ascii="黑体" w:hAnsi="黑体" w:eastAsia="黑体" w:cs="黑体"/>
              <w:bCs/>
              <w:sz w:val="24"/>
              <w:szCs w:val="24"/>
              <w:lang w:val="zh-CN"/>
            </w:rPr>
            <w:fldChar w:fldCharType="begin"/>
          </w:r>
          <w:r>
            <w:rPr>
              <w:rFonts w:hint="eastAsia" w:ascii="黑体" w:hAnsi="黑体" w:eastAsia="黑体" w:cs="黑体"/>
              <w:bCs/>
              <w:sz w:val="24"/>
              <w:szCs w:val="24"/>
              <w:lang w:val="zh-CN"/>
            </w:rPr>
            <w:instrText xml:space="preserve"> HYPERLINK \l _Toc6096 </w:instrText>
          </w:r>
          <w:r>
            <w:rPr>
              <w:rFonts w:hint="eastAsia" w:ascii="黑体" w:hAnsi="黑体" w:eastAsia="黑体" w:cs="黑体"/>
              <w:bCs/>
              <w:sz w:val="24"/>
              <w:szCs w:val="24"/>
              <w:lang w:val="zh-CN"/>
            </w:rPr>
            <w:fldChar w:fldCharType="separate"/>
          </w:r>
          <w:r>
            <w:rPr>
              <w:rFonts w:hint="eastAsia" w:ascii="黑体" w:hAnsi="黑体" w:eastAsia="黑体" w:cs="黑体"/>
              <w:bCs w:val="0"/>
              <w:sz w:val="24"/>
              <w:szCs w:val="24"/>
              <w:lang w:val="en-US" w:eastAsia="zh-CN"/>
            </w:rPr>
            <w:t>中小企业融资(信用)担保机构有关准备金企业所得税税前扣除政策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_Toc6096 \h </w:instrText>
          </w:r>
          <w:r>
            <w:rPr>
              <w:rFonts w:hint="eastAsia" w:ascii="黑体" w:hAnsi="黑体" w:eastAsia="黑体" w:cs="黑体"/>
              <w:sz w:val="24"/>
              <w:szCs w:val="24"/>
            </w:rPr>
            <w:fldChar w:fldCharType="separate"/>
          </w:r>
          <w:r>
            <w:rPr>
              <w:rFonts w:hint="eastAsia" w:ascii="黑体" w:hAnsi="黑体" w:eastAsia="黑体" w:cs="黑体"/>
              <w:sz w:val="24"/>
              <w:szCs w:val="24"/>
            </w:rPr>
            <w:t>120</w:t>
          </w:r>
          <w:r>
            <w:rPr>
              <w:rFonts w:hint="eastAsia" w:ascii="黑体" w:hAnsi="黑体" w:eastAsia="黑体" w:cs="黑体"/>
              <w:sz w:val="24"/>
              <w:szCs w:val="24"/>
            </w:rPr>
            <w:fldChar w:fldCharType="end"/>
          </w:r>
          <w:r>
            <w:rPr>
              <w:rFonts w:hint="eastAsia" w:ascii="黑体" w:hAnsi="黑体" w:eastAsia="黑体" w:cs="黑体"/>
              <w:bCs/>
              <w:sz w:val="24"/>
              <w:szCs w:val="24"/>
              <w:lang w:val="zh-CN"/>
            </w:rPr>
            <w:fldChar w:fldCharType="end"/>
          </w:r>
        </w:p>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ascii="方正小标宋简体" w:hAnsi="方正小标宋简体" w:eastAsia="方正小标宋简体" w:cs="方正小标宋简体"/>
              <w:bCs/>
              <w:lang w:val="zh-CN"/>
            </w:rPr>
          </w:pPr>
          <w:r>
            <w:rPr>
              <w:rFonts w:hint="eastAsia" w:ascii="黑体" w:hAnsi="黑体" w:eastAsia="黑体" w:cs="黑体"/>
              <w:bCs/>
              <w:sz w:val="24"/>
              <w:szCs w:val="24"/>
              <w:lang w:val="zh-CN"/>
            </w:rPr>
            <w:fldChar w:fldCharType="end"/>
          </w:r>
        </w:p>
        <w:p>
          <w:pPr>
            <w:pStyle w:val="2"/>
            <w:pageBreakBefore w:val="0"/>
            <w:kinsoku/>
            <w:wordWrap/>
            <w:overflowPunct/>
            <w:topLinePunct w:val="0"/>
            <w:bidi w:val="0"/>
            <w:spacing w:line="590" w:lineRule="exact"/>
            <w:ind w:firstLine="360"/>
          </w:pPr>
        </w:p>
      </w:sdtContent>
    </w:sdt>
    <w:p>
      <w:pPr>
        <w:pStyle w:val="20"/>
        <w:pageBreakBefore w:val="0"/>
        <w:kinsoku/>
        <w:wordWrap/>
        <w:overflowPunct/>
        <w:topLinePunct w:val="0"/>
        <w:bidi w:val="0"/>
        <w:spacing w:before="0" w:after="0" w:line="590" w:lineRule="exact"/>
        <w:ind w:firstLine="0" w:firstLineChars="0"/>
        <w:outlineLvl w:val="9"/>
        <w:rPr>
          <w:rFonts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ascii="方正小标宋简体" w:eastAsia="方正小标宋简体"/>
          <w:b w:val="0"/>
          <w:sz w:val="44"/>
          <w:szCs w:val="44"/>
        </w:rPr>
      </w:pPr>
      <w:bookmarkStart w:id="0" w:name="_Toc18028"/>
      <w:r>
        <w:rPr>
          <w:rFonts w:hint="eastAsia" w:ascii="方正小标宋简体" w:eastAsia="方正小标宋简体"/>
          <w:b w:val="0"/>
          <w:sz w:val="44"/>
          <w:szCs w:val="44"/>
        </w:rPr>
        <w:t>第一篇：银行信贷篇</w:t>
      </w:r>
      <w:bookmarkEnd w:id="0"/>
    </w:p>
    <w:p>
      <w:pPr>
        <w:pageBreakBefore w:val="0"/>
        <w:kinsoku/>
        <w:wordWrap/>
        <w:overflowPunct/>
        <w:topLinePunct w:val="0"/>
        <w:bidi w:val="0"/>
        <w:adjustRightInd w:val="0"/>
        <w:spacing w:line="590" w:lineRule="exact"/>
        <w:rPr>
          <w:rFonts w:ascii="Times New Roman" w:hAnsi="Times New Roman" w:cs="Times New Roman"/>
          <w:color w:val="000000"/>
        </w:rPr>
      </w:pPr>
    </w:p>
    <w:p>
      <w:pPr>
        <w:pageBreakBefore w:val="0"/>
        <w:kinsoku/>
        <w:wordWrap/>
        <w:overflowPunct/>
        <w:topLinePunct w:val="0"/>
        <w:bidi w:val="0"/>
        <w:adjustRightInd w:val="0"/>
        <w:spacing w:line="590" w:lineRule="exact"/>
        <w:rPr>
          <w:rFonts w:ascii="Times New Roman" w:hAnsi="Times New Roman" w:cs="Times New Roman"/>
          <w:color w:val="000000"/>
        </w:rPr>
      </w:pPr>
    </w:p>
    <w:p>
      <w:pPr>
        <w:pageBreakBefore w:val="0"/>
        <w:kinsoku/>
        <w:wordWrap/>
        <w:overflowPunct/>
        <w:topLinePunct w:val="0"/>
        <w:bidi w:val="0"/>
        <w:adjustRightInd w:val="0"/>
        <w:spacing w:line="590" w:lineRule="exact"/>
        <w:rPr>
          <w:rFonts w:ascii="Times New Roman" w:hAnsi="Times New Roman" w:cs="Times New Roman"/>
          <w:color w:val="000000"/>
        </w:rPr>
      </w:pPr>
    </w:p>
    <w:p>
      <w:pPr>
        <w:pageBreakBefore w:val="0"/>
        <w:kinsoku/>
        <w:wordWrap/>
        <w:overflowPunct/>
        <w:topLinePunct w:val="0"/>
        <w:bidi w:val="0"/>
        <w:adjustRightInd w:val="0"/>
        <w:spacing w:line="590" w:lineRule="exact"/>
        <w:rPr>
          <w:rFonts w:ascii="Times New Roman" w:hAnsi="Times New Roman" w:cs="Times New Roman"/>
          <w:color w:val="000000"/>
        </w:rPr>
      </w:pPr>
    </w:p>
    <w:p>
      <w:pPr>
        <w:pStyle w:val="2"/>
        <w:pageBreakBefore w:val="0"/>
        <w:kinsoku/>
        <w:wordWrap/>
        <w:overflowPunct/>
        <w:topLinePunct w:val="0"/>
        <w:bidi w:val="0"/>
        <w:spacing w:line="590" w:lineRule="exact"/>
        <w:ind w:firstLine="360"/>
      </w:pPr>
    </w:p>
    <w:p>
      <w:pPr>
        <w:pStyle w:val="2"/>
        <w:pageBreakBefore w:val="0"/>
        <w:kinsoku/>
        <w:wordWrap/>
        <w:overflowPunct/>
        <w:topLinePunct w:val="0"/>
        <w:bidi w:val="0"/>
        <w:spacing w:line="590" w:lineRule="exact"/>
        <w:ind w:firstLine="360"/>
      </w:pPr>
    </w:p>
    <w:p>
      <w:pPr>
        <w:pageBreakBefore w:val="0"/>
        <w:kinsoku/>
        <w:wordWrap/>
        <w:overflowPunct/>
        <w:topLinePunct w:val="0"/>
        <w:bidi w:val="0"/>
        <w:spacing w:line="590" w:lineRule="exact"/>
        <w:ind w:left="0" w:leftChars="0" w:firstLine="0" w:firstLineChars="0"/>
        <w:jc w:val="center"/>
        <w:outlineLvl w:val="1"/>
        <w:rPr>
          <w:rFonts w:ascii="仿宋" w:hAnsi="仿宋" w:eastAsia="仿宋" w:cs="Times New Roman"/>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color w:val="000000"/>
          <w:sz w:val="36"/>
          <w:szCs w:val="36"/>
          <w:lang w:val="en"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lang w:val="en" w:eastAsia="zh-CN"/>
        </w:rPr>
      </w:pPr>
      <w:bookmarkStart w:id="1" w:name="_Toc13500"/>
      <w:r>
        <w:rPr>
          <w:rFonts w:hint="eastAsia" w:ascii="方正小标宋简体" w:hAnsi="方正小标宋简体" w:eastAsia="方正小标宋简体" w:cs="方正小标宋简体"/>
          <w:color w:val="000000"/>
          <w:sz w:val="36"/>
          <w:szCs w:val="36"/>
          <w:lang w:val="en" w:eastAsia="zh-CN"/>
        </w:rPr>
        <w:t>东营市“人才贷”风险补偿资金管理办法</w:t>
      </w:r>
      <w:bookmarkEnd w:id="1"/>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000000"/>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CESI仿宋-GB2312" w:hAnsi="CESI仿宋-GB2312" w:eastAsia="CESI仿宋-GB2312" w:cs="CESI仿宋-GB2312"/>
          <w:color w:val="000000"/>
          <w:sz w:val="32"/>
          <w:szCs w:val="32"/>
          <w:lang w:val="en-US" w:eastAsia="zh-CN"/>
        </w:rPr>
      </w:pPr>
      <w:r>
        <w:rPr>
          <w:rFonts w:hint="eastAsia" w:ascii="Times New Roman" w:hAnsi="Times New Roman" w:eastAsia="黑体" w:cs="Times New Roman"/>
          <w:color w:val="000000"/>
          <w:kern w:val="2"/>
          <w:sz w:val="32"/>
          <w:szCs w:val="32"/>
          <w:lang w:val="en-US" w:eastAsia="zh-CN" w:bidi="ar-SA"/>
        </w:rPr>
        <w:t>一、服务对象和范围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人才贷”贷款对象为享受市级高层次人才服务绿色通道政策人才或其长期所在东营市行政区域内注册的企业。市财政设立资金，对“人才贷”业务进行风险补偿（以下简称“市风险补偿资金”），激发银行积极性。合作银行在市地方金融监管局备案并按要求开展“人才贷”业务， 旨在</w:t>
      </w:r>
      <w:r>
        <w:rPr>
          <w:rFonts w:hint="eastAsia" w:ascii="仿宋_GB2312" w:hAnsi="楷体" w:eastAsia="仿宋_GB2312" w:cstheme="minorBidi"/>
          <w:kern w:val="2"/>
          <w:sz w:val="32"/>
          <w:szCs w:val="32"/>
          <w:lang w:val="en-US" w:eastAsia="zh-CN" w:bidi="ar-SA"/>
        </w:rPr>
        <w:t>服务市场主体融资。</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3" w:firstLineChars="200"/>
        <w:textAlignment w:val="auto"/>
        <w:rPr>
          <w:rFonts w:hint="default"/>
          <w:color w:val="000000"/>
          <w:lang w:val="en-US" w:eastAsia="zh-CN"/>
        </w:rPr>
      </w:pPr>
      <w:r>
        <w:rPr>
          <w:rFonts w:hint="eastAsia" w:ascii="仿宋_GB2312" w:hAnsi="宋体" w:eastAsia="仿宋_GB2312" w:cs="宋体"/>
          <w:b/>
          <w:bCs/>
          <w:color w:val="000000"/>
          <w:kern w:val="2"/>
          <w:sz w:val="32"/>
          <w:szCs w:val="32"/>
          <w:shd w:val="clear" w:color="auto" w:fill="FFFFFF"/>
          <w:lang w:val="en-US" w:eastAsia="zh-CN" w:bidi="ar-SA"/>
        </w:rPr>
        <w:t>概念解释：</w:t>
      </w:r>
      <w:r>
        <w:rPr>
          <w:rFonts w:hint="eastAsia" w:ascii="仿宋_GB2312" w:hAnsi="宋体" w:eastAsia="仿宋_GB2312" w:cs="宋体"/>
          <w:color w:val="000000"/>
          <w:sz w:val="32"/>
          <w:szCs w:val="32"/>
          <w:shd w:val="clear" w:color="auto" w:fill="FFFFFF"/>
        </w:rPr>
        <w:t>本办法所称“人才贷”是指由合作银行提供，在风险可控、商业可持续的前提下，专门用于高层次人才或其长期所在企业开展科技成果转化和创新创业活动的无抵押、无担保信贷产品。“人才贷”产品需经市地方金融监管局认定。</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000000"/>
          <w:sz w:val="32"/>
          <w:szCs w:val="32"/>
          <w:lang w:eastAsia="zh-CN"/>
        </w:rPr>
      </w:pPr>
      <w:r>
        <w:rPr>
          <w:rFonts w:hint="eastAsia" w:ascii="Times New Roman" w:hAnsi="Times New Roman" w:eastAsia="黑体" w:cs="Times New Roman"/>
          <w:color w:val="000000"/>
          <w:sz w:val="32"/>
          <w:szCs w:val="32"/>
          <w:lang w:eastAsia="zh-CN"/>
        </w:rPr>
        <w:t>二、</w:t>
      </w:r>
      <w:r>
        <w:rPr>
          <w:rFonts w:hint="eastAsia" w:ascii="Times New Roman" w:hAnsi="Times New Roman" w:eastAsia="黑体" w:cs="Times New Roman"/>
          <w:color w:val="000000"/>
          <w:sz w:val="32"/>
          <w:szCs w:val="32"/>
        </w:rPr>
        <w:t>政策名称</w:t>
      </w:r>
      <w:r>
        <w:rPr>
          <w:rFonts w:hint="eastAsia" w:ascii="Times New Roman" w:hAnsi="Times New Roman" w:eastAsia="黑体" w:cs="Times New Roman"/>
          <w:color w:val="000000"/>
          <w:sz w:val="32"/>
          <w:szCs w:val="32"/>
          <w:lang w:eastAsia="zh-CN"/>
        </w:rPr>
        <w:t>或政策依据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textAlignment w:val="auto"/>
        <w:rPr>
          <w:rFonts w:hint="eastAsia" w:ascii="仿宋_GB2312" w:hAnsi="仿宋_GB2312" w:eastAsia="仿宋_GB2312" w:cs="仿宋_GB2312"/>
          <w:color w:val="000000"/>
          <w:sz w:val="32"/>
          <w:szCs w:val="32"/>
          <w:lang w:val="en-US" w:eastAsia="zh-CN"/>
        </w:rPr>
      </w:pPr>
      <w:r>
        <w:rPr>
          <w:rFonts w:hint="eastAsia"/>
          <w:color w:val="000000"/>
          <w:lang w:val="en-US" w:eastAsia="zh-CN"/>
        </w:rPr>
        <w:t xml:space="preserve">    </w:t>
      </w:r>
      <w:r>
        <w:rPr>
          <w:rFonts w:hint="eastAsia" w:ascii="CESI仿宋-GB2312" w:hAnsi="CESI仿宋-GB2312" w:eastAsia="CESI仿宋-GB2312" w:cs="CESI仿宋-GB2312"/>
          <w:color w:val="000000"/>
          <w:sz w:val="32"/>
          <w:szCs w:val="32"/>
          <w:lang w:val="en-US" w:eastAsia="zh-CN"/>
        </w:rPr>
        <w:t xml:space="preserve">  </w:t>
      </w:r>
      <w:r>
        <w:rPr>
          <w:rFonts w:hint="eastAsia" w:ascii="仿宋_GB2312" w:hAnsi="仿宋_GB2312" w:eastAsia="仿宋_GB2312" w:cs="仿宋_GB2312"/>
          <w:color w:val="000000"/>
          <w:sz w:val="32"/>
          <w:szCs w:val="32"/>
          <w:lang w:val="en-US" w:eastAsia="zh-CN"/>
        </w:rPr>
        <w:t>市委组织部、市财政局、市人力资源社会保障局、市地方金融监管局、市人行、东营银保监分局联合制定了《东营市“人才贷”风险补偿资金管理办法》。办法自2021年1月5日起施行，有效期至2023年12月31日。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000000"/>
          <w:kern w:val="2"/>
          <w:sz w:val="32"/>
          <w:szCs w:val="32"/>
          <w:lang w:val="en-US" w:eastAsia="zh-CN" w:bidi="ar-SA"/>
        </w:rPr>
      </w:pPr>
      <w:r>
        <w:rPr>
          <w:rFonts w:hint="eastAsia" w:ascii="Times New Roman" w:hAnsi="Times New Roman" w:eastAsia="黑体" w:cs="Times New Roman"/>
          <w:color w:val="000000"/>
          <w:kern w:val="2"/>
          <w:sz w:val="32"/>
          <w:szCs w:val="32"/>
          <w:lang w:val="en-US" w:eastAsia="zh-CN" w:bidi="ar-SA"/>
        </w:rPr>
        <w:t>三、政策措施内容及标准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市级建立风险补偿资金用于“人才贷”业务风险补偿，各县区（开发区）自行建立风险补偿资金（以下简称“县区风险补偿资金”），用于合作银行开展本区域高层次“人才贷”业务形成的本金损失（以下简称“本金损失”），按本金损失70%的比例进行补偿，所需资金由市、县按现行财政体制分级负担。</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市地方金融监管局会同市财政局规范管理风险补偿资金使用，定期进行绩效评价。对符合省级“人才贷”风险补偿奖励条件的，按程序申请省级“人才贷”风险补偿奖励资金。</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000000"/>
          <w:kern w:val="2"/>
          <w:sz w:val="32"/>
          <w:szCs w:val="32"/>
          <w:lang w:val="en-US" w:eastAsia="zh-CN" w:bidi="ar-SA"/>
        </w:rPr>
      </w:pPr>
      <w:r>
        <w:rPr>
          <w:rFonts w:hint="eastAsia" w:ascii="Times New Roman" w:hAnsi="Times New Roman" w:eastAsia="黑体" w:cs="Times New Roman"/>
          <w:color w:val="000000"/>
          <w:kern w:val="2"/>
          <w:sz w:val="32"/>
          <w:szCs w:val="32"/>
          <w:lang w:val="en-US" w:eastAsia="zh-CN" w:bidi="ar-SA"/>
        </w:rPr>
        <w:t>四、申报办理流程</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 xml:space="preserve"> （一）合作银行在贷款发生逾期后50天内向贷款人工作地或所在企业注册地的县区（开发区）地方金融监管局（金融办）提出风险补偿申请，并提供相关证明材料。</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二）县区（开发区）地方金融监管局（金融办）收到合作银行关于市级高层次人才的补偿申请后，应于10日内将相关材料同时报市地方金融监督管理局审查认定，对符合补偿的项目，县区补偿资金到位20天内，市财政局按比例拨付风险补偿资金。</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 xml:space="preserve">    </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CESI楷体-GB2312" w:hAnsi="CESI楷体-GB2312" w:eastAsia="CESI楷体-GB2312" w:cs="CESI楷体-GB2312"/>
          <w:kern w:val="2"/>
          <w:sz w:val="32"/>
          <w:szCs w:val="32"/>
          <w:lang w:val="en-US" w:eastAsia="zh-CN" w:bidi="ar-SA"/>
        </w:rPr>
        <w:sectPr>
          <w:pgSz w:w="11906" w:h="16838"/>
          <w:pgMar w:top="1587" w:right="1474" w:bottom="147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CESI楷体-GB2312" w:hAnsi="CESI楷体-GB2312" w:eastAsia="CESI楷体-GB2312" w:cs="CESI楷体-GB2312"/>
          <w:color w:val="000000"/>
          <w:kern w:val="2"/>
          <w:sz w:val="32"/>
          <w:szCs w:val="32"/>
          <w:lang w:val="en-US" w:eastAsia="zh-CN" w:bidi="ar-SA"/>
        </w:rPr>
        <w:t>主办单位：市地方金融监</w:t>
      </w:r>
      <w:r>
        <w:rPr>
          <w:rFonts w:hint="eastAsia" w:ascii="CESI楷体-GB2312" w:hAnsi="CESI楷体-GB2312" w:eastAsia="CESI楷体-GB2312" w:cs="CESI楷体-GB2312"/>
          <w:kern w:val="2"/>
          <w:sz w:val="32"/>
          <w:szCs w:val="32"/>
          <w:lang w:val="en-US" w:eastAsia="zh-CN" w:bidi="ar-SA"/>
        </w:rPr>
        <w:t>督管理局  联系电话：7928199</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rPr>
          <w:rFonts w:hint="eastAsia" w:ascii="方正小标宋简体" w:hAnsi="方正小标宋简体" w:eastAsia="方正小标宋简体" w:cs="方正小标宋简体"/>
          <w:b w:val="0"/>
          <w:bCs w:val="0"/>
          <w:sz w:val="36"/>
          <w:szCs w:val="36"/>
          <w:lang w:val="en"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CESI黑体-GB2312" w:hAnsi="CESI黑体-GB2312" w:eastAsia="CESI黑体-GB2312" w:cs="CESI黑体-GB2312"/>
          <w:sz w:val="32"/>
          <w:szCs w:val="32"/>
          <w:lang w:val="en" w:eastAsia="zh-CN"/>
        </w:rPr>
      </w:pPr>
      <w:bookmarkStart w:id="2" w:name="_Toc32070"/>
      <w:r>
        <w:rPr>
          <w:rFonts w:hint="eastAsia" w:ascii="方正小标宋简体" w:hAnsi="方正小标宋简体" w:eastAsia="方正小标宋简体" w:cs="方正小标宋简体"/>
          <w:b w:val="0"/>
          <w:bCs w:val="0"/>
          <w:sz w:val="36"/>
          <w:szCs w:val="36"/>
          <w:lang w:val="en" w:eastAsia="zh-CN"/>
        </w:rPr>
        <w:t>创业担保贷款</w:t>
      </w:r>
      <w:bookmarkEnd w:id="2"/>
    </w:p>
    <w:p>
      <w:pPr>
        <w:pStyle w:val="2"/>
        <w:pageBreakBefore w:val="0"/>
        <w:kinsoku/>
        <w:wordWrap/>
        <w:overflowPunct/>
        <w:topLinePunct w:val="0"/>
        <w:bidi w:val="0"/>
        <w:spacing w:line="590" w:lineRule="exact"/>
        <w:rPr>
          <w:rFonts w:hint="eastAsia"/>
          <w:lang w:val="en"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Times New Roman" w:hAnsi="Times New Roman" w:eastAsia="黑体" w:cs="Times New Roman"/>
          <w:color w:val="auto"/>
          <w:kern w:val="2"/>
          <w:sz w:val="32"/>
          <w:szCs w:val="32"/>
          <w:lang w:val="en-US" w:eastAsia="zh-CN" w:bidi="ar-SA"/>
        </w:rPr>
        <w:t>一、服务对象和范围</w:t>
      </w:r>
    </w:p>
    <w:p>
      <w:pPr>
        <w:pageBreakBefore w:val="0"/>
        <w:kinsoku/>
        <w:wordWrap/>
        <w:overflowPunct/>
        <w:topLinePunct w:val="0"/>
        <w:bidi w:val="0"/>
        <w:spacing w:line="590" w:lineRule="exact"/>
        <w:ind w:firstLine="640"/>
        <w:jc w:val="left"/>
        <w:rPr>
          <w:rFonts w:hint="eastAsia" w:ascii="仿宋_GB2312" w:hAnsi="CESI仿宋-GB2312" w:eastAsia="仿宋_GB2312" w:cs="CESI仿宋-GB2312"/>
          <w:sz w:val="32"/>
          <w:szCs w:val="32"/>
          <w:lang w:eastAsia="zh-CN"/>
        </w:rPr>
      </w:pPr>
      <w:r>
        <w:rPr>
          <w:rFonts w:hint="eastAsia" w:ascii="仿宋_GB2312" w:hAnsi="CESI仿宋-GB2312" w:eastAsia="仿宋_GB2312" w:cs="CESI仿宋-GB2312"/>
          <w:sz w:val="32"/>
          <w:szCs w:val="32"/>
          <w:lang w:eastAsia="zh-CN"/>
        </w:rPr>
        <w:t>个人创业担保贷款对象包括城镇登记失业人员、就业困难人员、复员转业退役军人、刑满释放人员、高校在校生、高校毕业生（含大学生村官和留学回国学生）、化解过剩产能企业职工和失业人员、返乡创业农民工、网络商户、建档立卡贫困人口、农村自主创业农民、符合条件的离岗或在职创业的乡镇事业单位专业技术人员、港澳台来鲁创业青年；根据省委、省政府有关要求，其他符合条件的返乡创业人员。</w:t>
      </w:r>
    </w:p>
    <w:p>
      <w:pPr>
        <w:pageBreakBefore w:val="0"/>
        <w:kinsoku/>
        <w:wordWrap/>
        <w:overflowPunct/>
        <w:topLinePunct w:val="0"/>
        <w:bidi w:val="0"/>
        <w:spacing w:line="590" w:lineRule="exact"/>
        <w:ind w:firstLine="640"/>
        <w:jc w:val="left"/>
        <w:rPr>
          <w:rFonts w:hint="eastAsia" w:ascii="仿宋_GB2312" w:hAnsi="CESI仿宋-GB2312" w:eastAsia="仿宋_GB2312" w:cs="CESI仿宋-GB2312"/>
          <w:sz w:val="32"/>
          <w:szCs w:val="32"/>
          <w:lang w:eastAsia="zh-CN"/>
        </w:rPr>
      </w:pPr>
      <w:r>
        <w:rPr>
          <w:rFonts w:hint="eastAsia" w:ascii="仿宋_GB2312" w:hAnsi="CESI仿宋-GB2312" w:eastAsia="仿宋_GB2312" w:cs="CESI仿宋-GB2312"/>
          <w:sz w:val="32"/>
          <w:szCs w:val="32"/>
          <w:lang w:eastAsia="zh-CN"/>
        </w:rPr>
        <w:t>小微企业创业担保贷款对象为当年新招用符合创业担保贷款申请条件的人员数量达到企业现有在职职工人数15%（超过100人的企业达到8%）、并与其签订1年以上劳动合同的小微企业。小微企业应无拖欠职工工资、欠缴社会保险费等严重违法违规信用记录；企业、法定代表人和主要股东社会声誉好，无不良信用记录，无违法乱纪行为，无重大诉讼案件。小微企业认定标准按照《统计上大中小微型企业划分办法(2017)》（国统字2017]213号）文件规定。</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3" w:firstLineChars="200"/>
        <w:textAlignment w:val="auto"/>
        <w:rPr>
          <w:rFonts w:hint="default" w:ascii="仿宋_GB2312" w:hAnsi="CESI仿宋-GB2312" w:eastAsia="仿宋_GB2312" w:cs="CESI仿宋-GB2312"/>
          <w:sz w:val="32"/>
          <w:szCs w:val="32"/>
          <w:lang w:val="en-US" w:eastAsia="zh-CN"/>
        </w:rPr>
      </w:pPr>
      <w:r>
        <w:rPr>
          <w:rFonts w:hint="eastAsia" w:ascii="仿宋_GB2312" w:hAnsi="CESI仿宋-GB2312" w:eastAsia="仿宋_GB2312" w:cs="CESI仿宋-GB2312"/>
          <w:b/>
          <w:bCs/>
          <w:sz w:val="32"/>
          <w:szCs w:val="32"/>
          <w:lang w:val="en-US" w:eastAsia="zh-CN"/>
        </w:rPr>
        <w:t>概念解释</w:t>
      </w:r>
      <w:r>
        <w:rPr>
          <w:rFonts w:hint="eastAsia" w:ascii="仿宋_GB2312" w:hAnsi="CESI仿宋-GB2312" w:eastAsia="仿宋_GB2312" w:cs="CESI仿宋-GB2312"/>
          <w:sz w:val="32"/>
          <w:szCs w:val="32"/>
          <w:lang w:val="en-US" w:eastAsia="zh-CN"/>
        </w:rPr>
        <w:t>：</w:t>
      </w:r>
      <w:r>
        <w:rPr>
          <w:rFonts w:hint="eastAsia" w:ascii="仿宋_GB2312" w:hAnsi="CESI仿宋-GB2312" w:eastAsia="仿宋_GB2312" w:cs="CESI仿宋-GB2312"/>
          <w:sz w:val="32"/>
          <w:szCs w:val="32"/>
          <w:lang w:eastAsia="zh-CN"/>
        </w:rPr>
        <w:t>创业担保贷款，是指以具备规定条件的创业者个人或小微企业为借款人，由“人社部门资格审核，担保机构调查担保、经办银行调查放款、财政部门按规定贴息”共同来完成的一项用于支持个人创业或小微企业扩大就业的政策性贷款业务。应当用于借款人创业的开办经费和经营所需资金，不得转借他人使用，不得用于购买股票、期货等有价证券和从事股本权益性投资，不得用于违反国家有关法律、法规的用途。</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方正黑体_GBK" w:hAnsi="方正黑体_GBK" w:eastAsia="方正黑体_GBK" w:cs="方正黑体_GBK"/>
          <w:sz w:val="32"/>
          <w:szCs w:val="32"/>
          <w:lang w:eastAsia="zh-CN"/>
        </w:rPr>
      </w:pPr>
      <w:r>
        <w:rPr>
          <w:rFonts w:hint="eastAsia" w:ascii="黑体" w:hAnsi="黑体" w:eastAsia="黑体" w:cs="黑体"/>
          <w:sz w:val="32"/>
          <w:szCs w:val="32"/>
          <w:lang w:val="en-US" w:eastAsia="zh-CN"/>
        </w:rPr>
        <w:t>二、</w:t>
      </w:r>
      <w:r>
        <w:rPr>
          <w:rFonts w:hint="eastAsia" w:ascii="黑体" w:hAnsi="黑体" w:eastAsia="黑体" w:cs="黑体"/>
          <w:sz w:val="32"/>
          <w:szCs w:val="32"/>
        </w:rPr>
        <w:t>政策名称</w:t>
      </w:r>
      <w:r>
        <w:rPr>
          <w:rFonts w:hint="eastAsia" w:ascii="黑体" w:hAnsi="黑体" w:eastAsia="黑体" w:cs="黑体"/>
          <w:sz w:val="32"/>
          <w:szCs w:val="32"/>
          <w:lang w:eastAsia="zh-CN"/>
        </w:rPr>
        <w:t>或政策依据</w:t>
      </w:r>
    </w:p>
    <w:p>
      <w:pPr>
        <w:pageBreakBefore w:val="0"/>
        <w:kinsoku/>
        <w:wordWrap/>
        <w:overflowPunct/>
        <w:topLinePunct w:val="0"/>
        <w:bidi w:val="0"/>
        <w:spacing w:line="590" w:lineRule="exact"/>
        <w:ind w:firstLine="640"/>
        <w:jc w:val="left"/>
        <w:rPr>
          <w:rFonts w:hint="eastAsia" w:ascii="仿宋_GB2312" w:hAnsi="CESI仿宋-GB2312" w:eastAsia="仿宋_GB2312" w:cs="CESI仿宋-GB2312"/>
          <w:sz w:val="32"/>
          <w:szCs w:val="32"/>
          <w:lang w:val="en-US" w:eastAsia="zh-CN"/>
        </w:rPr>
      </w:pPr>
      <w:r>
        <w:rPr>
          <w:rFonts w:hint="eastAsia" w:ascii="仿宋_GB2312" w:hAnsi="CESI仿宋-GB2312" w:eastAsia="仿宋_GB2312" w:cs="CESI仿宋-GB2312"/>
          <w:sz w:val="32"/>
          <w:szCs w:val="32"/>
          <w:lang w:eastAsia="zh-CN"/>
        </w:rPr>
        <w:t>《山东省创业担保贷款实施办法》（鲁人社字〔</w:t>
      </w:r>
      <w:r>
        <w:rPr>
          <w:rFonts w:hint="eastAsia" w:ascii="仿宋_GB2312" w:hAnsi="CESI仿宋-GB2312" w:eastAsia="仿宋_GB2312" w:cs="CESI仿宋-GB2312"/>
          <w:sz w:val="32"/>
          <w:szCs w:val="32"/>
          <w:lang w:val="en-US" w:eastAsia="zh-CN"/>
        </w:rPr>
        <w:t>2020</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lang w:val="en-US" w:eastAsia="zh-CN"/>
        </w:rPr>
        <w:t>27号</w:t>
      </w:r>
      <w:r>
        <w:rPr>
          <w:rFonts w:hint="eastAsia" w:ascii="仿宋_GB2312" w:hAnsi="CESI仿宋-GB2312" w:eastAsia="仿宋_GB2312" w:cs="CESI仿宋-GB2312"/>
          <w:sz w:val="32"/>
          <w:szCs w:val="32"/>
          <w:lang w:eastAsia="zh-CN"/>
        </w:rPr>
        <w:t>）。文件自</w:t>
      </w:r>
      <w:r>
        <w:rPr>
          <w:rFonts w:hint="eastAsia" w:ascii="仿宋_GB2312" w:hAnsi="CESI仿宋-GB2312" w:eastAsia="仿宋_GB2312" w:cs="CESI仿宋-GB2312"/>
          <w:sz w:val="32"/>
          <w:szCs w:val="32"/>
          <w:lang w:val="en-US" w:eastAsia="zh-CN"/>
        </w:rPr>
        <w:t>2020年4月1日起施行。</w:t>
      </w:r>
    </w:p>
    <w:p>
      <w:pPr>
        <w:pageBreakBefore w:val="0"/>
        <w:kinsoku/>
        <w:wordWrap/>
        <w:overflowPunct/>
        <w:topLinePunct w:val="0"/>
        <w:bidi w:val="0"/>
        <w:spacing w:line="590" w:lineRule="exact"/>
        <w:ind w:firstLine="640"/>
        <w:jc w:val="left"/>
        <w:rPr>
          <w:rFonts w:hint="eastAsia" w:ascii="仿宋_GB2312" w:hAnsi="CESI仿宋-GB2312" w:eastAsia="仿宋_GB2312" w:cs="CESI仿宋-GB2312"/>
          <w:sz w:val="32"/>
          <w:szCs w:val="32"/>
          <w:lang w:val="en-US" w:eastAsia="zh-CN"/>
        </w:rPr>
      </w:pPr>
      <w:r>
        <w:rPr>
          <w:rFonts w:hint="eastAsia" w:ascii="仿宋_GB2312" w:hAnsi="CESI仿宋-GB2312" w:eastAsia="仿宋_GB2312" w:cs="CESI仿宋-GB2312"/>
          <w:sz w:val="32"/>
          <w:szCs w:val="32"/>
          <w:lang w:val="en-US" w:eastAsia="zh-CN"/>
        </w:rPr>
        <w:t>《关于进一步加大创业担保贷款贴息力度全力支持重点群体创业就业的通知》（鲁财金</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lang w:val="en-US" w:eastAsia="zh-CN"/>
        </w:rPr>
        <w:t>2020</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lang w:val="en-US" w:eastAsia="zh-CN"/>
        </w:rPr>
        <w:t>25号）。</w:t>
      </w:r>
    </w:p>
    <w:p>
      <w:pPr>
        <w:pageBreakBefore w:val="0"/>
        <w:kinsoku/>
        <w:wordWrap/>
        <w:overflowPunct/>
        <w:topLinePunct w:val="0"/>
        <w:bidi w:val="0"/>
        <w:spacing w:line="590" w:lineRule="exact"/>
        <w:ind w:firstLine="640"/>
        <w:jc w:val="left"/>
        <w:rPr>
          <w:rFonts w:hint="eastAsia" w:ascii="仿宋_GB2312" w:hAnsi="CESI仿宋-GB2312" w:eastAsia="仿宋_GB2312" w:cs="CESI仿宋-GB2312"/>
          <w:sz w:val="32"/>
          <w:szCs w:val="32"/>
          <w:lang w:val="en-US" w:eastAsia="zh-CN"/>
        </w:rPr>
      </w:pPr>
      <w:r>
        <w:rPr>
          <w:rFonts w:hint="eastAsia" w:ascii="仿宋_GB2312" w:hAnsi="CESI仿宋-GB2312" w:eastAsia="仿宋_GB2312" w:cs="CESI仿宋-GB2312"/>
          <w:sz w:val="32"/>
          <w:szCs w:val="32"/>
          <w:lang w:val="en-US" w:eastAsia="zh-CN"/>
        </w:rPr>
        <w:t>《东营市创业带动就业扶持资金管理办法》</w:t>
      </w:r>
      <w:r>
        <w:rPr>
          <w:rFonts w:hint="eastAsia" w:ascii="仿宋_GB2312" w:hAnsi="CESI仿宋-GB2312" w:eastAsia="仿宋_GB2312" w:cs="CESI仿宋-GB2312"/>
          <w:sz w:val="32"/>
          <w:szCs w:val="32"/>
          <w:lang w:eastAsia="zh-CN"/>
        </w:rPr>
        <w:t>（鲁人社规〔</w:t>
      </w:r>
      <w:r>
        <w:rPr>
          <w:rFonts w:hint="eastAsia" w:ascii="仿宋_GB2312" w:hAnsi="CESI仿宋-GB2312" w:eastAsia="仿宋_GB2312" w:cs="CESI仿宋-GB2312"/>
          <w:sz w:val="32"/>
          <w:szCs w:val="32"/>
          <w:lang w:val="en-US" w:eastAsia="zh-CN"/>
        </w:rPr>
        <w:t>2021</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lang w:val="en-US" w:eastAsia="zh-CN"/>
        </w:rPr>
        <w:t>2号</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lang w:val="en-US" w:eastAsia="zh-CN"/>
        </w:rPr>
        <w:t>文件有效期，2021年5月24日起至2026年4月30日。</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lang w:val="en-US" w:eastAsia="zh-CN"/>
        </w:rPr>
      </w:pPr>
      <w:r>
        <w:rPr>
          <w:rFonts w:hint="eastAsia" w:ascii="Times New Roman" w:hAnsi="Times New Roman" w:eastAsia="黑体" w:cs="Times New Roman"/>
          <w:color w:val="auto"/>
          <w:kern w:val="2"/>
          <w:sz w:val="32"/>
          <w:szCs w:val="32"/>
          <w:lang w:val="en-US" w:eastAsia="zh-CN" w:bidi="ar-SA"/>
        </w:rPr>
        <w:t>三、政策措施内容及标准</w:t>
      </w:r>
      <w:r>
        <w:rPr>
          <w:rFonts w:hint="eastAsia"/>
          <w:lang w:val="en-US" w:eastAsia="zh-CN"/>
        </w:rPr>
        <w:t xml:space="preserve">    </w:t>
      </w:r>
    </w:p>
    <w:p>
      <w:pPr>
        <w:pageBreakBefore w:val="0"/>
        <w:kinsoku/>
        <w:wordWrap/>
        <w:overflowPunct/>
        <w:topLinePunct w:val="0"/>
        <w:bidi w:val="0"/>
        <w:spacing w:line="590" w:lineRule="exact"/>
        <w:ind w:firstLine="640"/>
        <w:jc w:val="left"/>
        <w:rPr>
          <w:rFonts w:hint="eastAsia" w:ascii="仿宋_GB2312" w:hAnsi="CESI仿宋-GB2312" w:eastAsia="仿宋_GB2312" w:cs="CESI仿宋-GB2312"/>
          <w:sz w:val="32"/>
          <w:szCs w:val="32"/>
          <w:lang w:val="en-US" w:eastAsia="zh-CN"/>
        </w:rPr>
      </w:pPr>
      <w:r>
        <w:rPr>
          <w:rFonts w:hint="eastAsia" w:ascii="仿宋_GB2312" w:hAnsi="CESI仿宋-GB2312" w:eastAsia="仿宋_GB2312" w:cs="CESI仿宋-GB2312"/>
          <w:sz w:val="32"/>
          <w:szCs w:val="32"/>
          <w:lang w:val="en-US" w:eastAsia="zh-CN"/>
        </w:rPr>
        <w:t>个人创业担保贷款最高贷款额度为20万元，贷款期限最长为3年；小微企业创业担保贷款额度最高不超过300万元，贷款期限最长不超过2年。</w:t>
      </w:r>
    </w:p>
    <w:p>
      <w:pPr>
        <w:pageBreakBefore w:val="0"/>
        <w:kinsoku/>
        <w:wordWrap/>
        <w:overflowPunct/>
        <w:topLinePunct w:val="0"/>
        <w:bidi w:val="0"/>
        <w:spacing w:line="590" w:lineRule="exact"/>
        <w:ind w:firstLine="640"/>
        <w:jc w:val="left"/>
        <w:rPr>
          <w:rFonts w:hint="eastAsia" w:ascii="仿宋_GB2312" w:hAnsi="CESI仿宋-GB2312" w:eastAsia="仿宋_GB2312" w:cs="CESI仿宋-GB2312"/>
          <w:sz w:val="32"/>
          <w:szCs w:val="32"/>
          <w:lang w:val="en-US" w:eastAsia="zh-CN"/>
        </w:rPr>
      </w:pPr>
      <w:r>
        <w:rPr>
          <w:rFonts w:hint="eastAsia" w:ascii="仿宋_GB2312" w:hAnsi="CESI仿宋-GB2312" w:eastAsia="仿宋_GB2312" w:cs="CESI仿宋-GB2312"/>
          <w:sz w:val="32"/>
          <w:szCs w:val="32"/>
          <w:lang w:val="en-US" w:eastAsia="zh-CN"/>
        </w:rPr>
        <w:t>贷款利率最高为LPR+50BP。自2021年1月1日起，新发放的个人和小微企业创业担保贷款利息，LPR-150BP以下部分，由借款人和借款企业承担，剩余部分财政给予贴息。</w:t>
      </w:r>
    </w:p>
    <w:p>
      <w:pPr>
        <w:pageBreakBefore w:val="0"/>
        <w:kinsoku/>
        <w:wordWrap/>
        <w:overflowPunct/>
        <w:topLinePunct w:val="0"/>
        <w:bidi w:val="0"/>
        <w:spacing w:line="590" w:lineRule="exact"/>
        <w:ind w:firstLine="640"/>
        <w:jc w:val="left"/>
        <w:rPr>
          <w:rFonts w:hint="eastAsia" w:ascii="仿宋_GB2312" w:hAnsi="CESI仿宋-GB2312" w:eastAsia="仿宋_GB2312" w:cs="CESI仿宋-GB2312"/>
          <w:sz w:val="32"/>
          <w:szCs w:val="32"/>
          <w:lang w:val="en-US" w:eastAsia="zh-CN"/>
        </w:rPr>
      </w:pPr>
      <w:r>
        <w:rPr>
          <w:rFonts w:hint="eastAsia" w:ascii="仿宋_GB2312" w:hAnsi="CESI仿宋-GB2312" w:eastAsia="仿宋_GB2312" w:cs="CESI仿宋-GB2312"/>
          <w:sz w:val="32"/>
          <w:szCs w:val="32"/>
          <w:lang w:val="en-US" w:eastAsia="zh-CN"/>
        </w:rPr>
        <w:t>对还款积极、带动就业能力强、创业项目好的借款个人和小微企业，还款后可持续提供创业贷款担保和贴息，但累计次数不得超过3次。</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四、申报办理流程</w:t>
      </w:r>
    </w:p>
    <w:p>
      <w:pPr>
        <w:pageBreakBefore w:val="0"/>
        <w:kinsoku/>
        <w:wordWrap/>
        <w:overflowPunct/>
        <w:topLinePunct w:val="0"/>
        <w:bidi w:val="0"/>
        <w:spacing w:line="590" w:lineRule="exact"/>
        <w:ind w:firstLine="640"/>
        <w:jc w:val="left"/>
        <w:rPr>
          <w:rFonts w:hint="eastAsia" w:ascii="仿宋_GB2312" w:hAnsi="CESI仿宋-GB2312" w:eastAsia="仿宋_GB2312" w:cs="CESI仿宋-GB2312"/>
          <w:sz w:val="32"/>
          <w:szCs w:val="32"/>
          <w:lang w:val="en-US" w:eastAsia="zh-CN"/>
        </w:rPr>
      </w:pPr>
      <w:r>
        <w:rPr>
          <w:rFonts w:hint="eastAsia" w:ascii="仿宋_GB2312" w:hAnsi="CESI仿宋-GB2312" w:eastAsia="仿宋_GB2312" w:cs="CESI仿宋-GB2312"/>
          <w:sz w:val="32"/>
          <w:szCs w:val="32"/>
          <w:lang w:val="en-US" w:eastAsia="zh-CN"/>
        </w:rPr>
        <w:t>1.符合条件的借款人或小微企业向当地镇、街便民服务大厅或山东省公共就业人才服务系统提出申请。</w:t>
      </w:r>
    </w:p>
    <w:p>
      <w:pPr>
        <w:pageBreakBefore w:val="0"/>
        <w:kinsoku/>
        <w:wordWrap/>
        <w:overflowPunct/>
        <w:topLinePunct w:val="0"/>
        <w:bidi w:val="0"/>
        <w:spacing w:line="590" w:lineRule="exact"/>
        <w:ind w:firstLine="640"/>
        <w:jc w:val="left"/>
        <w:rPr>
          <w:rFonts w:hint="eastAsia" w:ascii="仿宋_GB2312" w:hAnsi="CESI仿宋-GB2312" w:eastAsia="仿宋_GB2312" w:cs="CESI仿宋-GB2312"/>
          <w:sz w:val="32"/>
          <w:szCs w:val="32"/>
          <w:lang w:val="en-US" w:eastAsia="zh-CN"/>
        </w:rPr>
      </w:pPr>
      <w:r>
        <w:rPr>
          <w:rFonts w:hint="eastAsia" w:ascii="仿宋_GB2312" w:hAnsi="CESI仿宋-GB2312" w:eastAsia="仿宋_GB2312" w:cs="CESI仿宋-GB2312"/>
          <w:sz w:val="32"/>
          <w:szCs w:val="32"/>
          <w:lang w:val="en-US" w:eastAsia="zh-CN"/>
        </w:rPr>
        <w:t>2.经县以上人力资源社会保障部门资格审查合格的，由创业担保贷款担保机构审核通过后承诺担保，经办银行机构核贷后放款。</w:t>
      </w:r>
    </w:p>
    <w:p>
      <w:pPr>
        <w:pageBreakBefore w:val="0"/>
        <w:kinsoku/>
        <w:wordWrap/>
        <w:overflowPunct/>
        <w:topLinePunct w:val="0"/>
        <w:bidi w:val="0"/>
        <w:spacing w:line="590" w:lineRule="exact"/>
        <w:ind w:firstLine="640"/>
        <w:jc w:val="left"/>
        <w:rPr>
          <w:rFonts w:hint="eastAsia" w:ascii="仿宋_GB2312" w:hAnsi="CESI仿宋-GB2312" w:eastAsia="仿宋_GB2312" w:cs="CESI仿宋-GB2312"/>
          <w:sz w:val="32"/>
          <w:szCs w:val="32"/>
          <w:lang w:val="en-US" w:eastAsia="zh-CN"/>
        </w:rPr>
      </w:pPr>
      <w:r>
        <w:rPr>
          <w:rFonts w:hint="eastAsia" w:ascii="仿宋_GB2312" w:hAnsi="CESI仿宋-GB2312" w:eastAsia="仿宋_GB2312" w:cs="CESI仿宋-GB2312"/>
          <w:sz w:val="32"/>
          <w:szCs w:val="32"/>
          <w:lang w:val="en-US" w:eastAsia="zh-CN"/>
        </w:rPr>
        <w:t>3.借款人按合同约定向银行还本付息。</w:t>
      </w:r>
    </w:p>
    <w:p>
      <w:pPr>
        <w:pageBreakBefore w:val="0"/>
        <w:kinsoku/>
        <w:wordWrap/>
        <w:overflowPunct/>
        <w:topLinePunct w:val="0"/>
        <w:bidi w:val="0"/>
        <w:spacing w:line="590" w:lineRule="exact"/>
        <w:ind w:firstLine="640"/>
        <w:jc w:val="left"/>
        <w:rPr>
          <w:rFonts w:hint="eastAsia" w:ascii="仿宋_GB2312" w:hAnsi="CESI仿宋-GB2312" w:eastAsia="仿宋_GB2312" w:cs="CESI仿宋-GB2312"/>
          <w:sz w:val="32"/>
          <w:szCs w:val="32"/>
          <w:lang w:val="en-US" w:eastAsia="zh-CN"/>
        </w:rPr>
      </w:pPr>
      <w:r>
        <w:rPr>
          <w:rFonts w:hint="eastAsia" w:ascii="仿宋_GB2312" w:hAnsi="CESI仿宋-GB2312" w:eastAsia="仿宋_GB2312" w:cs="CESI仿宋-GB2312"/>
          <w:sz w:val="32"/>
          <w:szCs w:val="32"/>
          <w:lang w:val="en-US" w:eastAsia="zh-CN"/>
        </w:rPr>
        <w:t>4.还本付息后，由经办银行审核，按季向人社、财政部门提出贴息申请，财政部门按规定拨付贴息资金。</w:t>
      </w:r>
    </w:p>
    <w:p>
      <w:pPr>
        <w:pageBreakBefore w:val="0"/>
        <w:kinsoku/>
        <w:wordWrap/>
        <w:overflowPunct/>
        <w:topLinePunct w:val="0"/>
        <w:bidi w:val="0"/>
        <w:spacing w:line="590" w:lineRule="exact"/>
        <w:ind w:firstLine="640"/>
        <w:jc w:val="left"/>
        <w:rPr>
          <w:rFonts w:hint="eastAsia" w:ascii="仿宋_GB2312" w:hAnsi="CESI仿宋-GB2312" w:eastAsia="仿宋_GB2312" w:cs="CESI仿宋-GB2312"/>
          <w:sz w:val="32"/>
          <w:szCs w:val="32"/>
          <w:lang w:val="en-US" w:eastAsia="zh-CN"/>
        </w:rPr>
      </w:pPr>
    </w:p>
    <w:p>
      <w:pPr>
        <w:pageBreakBefore w:val="0"/>
        <w:kinsoku/>
        <w:wordWrap/>
        <w:overflowPunct/>
        <w:topLinePunct w:val="0"/>
        <w:bidi w:val="0"/>
        <w:spacing w:line="590" w:lineRule="exact"/>
        <w:ind w:firstLine="640"/>
        <w:jc w:val="left"/>
        <w:rPr>
          <w:rFonts w:hint="eastAsia" w:ascii="CESI楷体-GB2312" w:hAnsi="CESI楷体-GB2312" w:eastAsia="CESI楷体-GB2312" w:cs="CESI楷体-GB2312"/>
          <w:sz w:val="32"/>
          <w:szCs w:val="32"/>
          <w:lang w:val="en-US" w:eastAsia="zh-CN"/>
        </w:rPr>
      </w:pPr>
      <w:r>
        <w:rPr>
          <w:rFonts w:hint="eastAsia" w:ascii="CESI楷体-GB2312" w:hAnsi="CESI楷体-GB2312" w:eastAsia="CESI楷体-GB2312" w:cs="CESI楷体-GB2312"/>
          <w:sz w:val="32"/>
          <w:szCs w:val="32"/>
          <w:lang w:val="en-US" w:eastAsia="zh-CN"/>
        </w:rPr>
        <w:t>主办单位：市人社局公共就业和人才服务中心创业服务科，联系电话：6378763，6378766</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720" w:firstLineChars="200"/>
        <w:jc w:val="center"/>
        <w:textAlignment w:val="auto"/>
        <w:rPr>
          <w:rFonts w:hint="eastAsia" w:ascii="方正小标宋简体" w:hAnsi="方正小标宋简体" w:eastAsia="方正小标宋简体" w:cs="方正小标宋简体"/>
          <w:b w:val="0"/>
          <w:bCs w:val="0"/>
          <w:sz w:val="36"/>
          <w:szCs w:val="36"/>
          <w:highlight w:val="none"/>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720" w:firstLineChars="200"/>
        <w:jc w:val="center"/>
        <w:textAlignment w:val="auto"/>
        <w:rPr>
          <w:rFonts w:hint="eastAsia" w:ascii="方正小标宋简体" w:hAnsi="方正小标宋简体" w:eastAsia="方正小标宋简体" w:cs="方正小标宋简体"/>
          <w:b w:val="0"/>
          <w:bCs w:val="0"/>
          <w:sz w:val="36"/>
          <w:szCs w:val="36"/>
          <w:highlight w:val="none"/>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720" w:firstLineChars="200"/>
        <w:jc w:val="center"/>
        <w:textAlignment w:val="auto"/>
        <w:rPr>
          <w:rFonts w:hint="eastAsia" w:ascii="方正小标宋简体" w:hAnsi="方正小标宋简体" w:eastAsia="方正小标宋简体" w:cs="方正小标宋简体"/>
          <w:b w:val="0"/>
          <w:bCs w:val="0"/>
          <w:sz w:val="36"/>
          <w:szCs w:val="36"/>
          <w:highlight w:val="none"/>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720" w:firstLineChars="200"/>
        <w:jc w:val="center"/>
        <w:textAlignment w:val="auto"/>
        <w:rPr>
          <w:rFonts w:hint="eastAsia" w:ascii="方正小标宋简体" w:hAnsi="方正小标宋简体" w:eastAsia="方正小标宋简体" w:cs="方正小标宋简体"/>
          <w:b w:val="0"/>
          <w:bCs w:val="0"/>
          <w:sz w:val="36"/>
          <w:szCs w:val="36"/>
          <w:highlight w:val="none"/>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720" w:firstLineChars="200"/>
        <w:jc w:val="center"/>
        <w:textAlignment w:val="auto"/>
        <w:rPr>
          <w:rFonts w:hint="eastAsia" w:ascii="方正小标宋简体" w:hAnsi="方正小标宋简体" w:eastAsia="方正小标宋简体" w:cs="方正小标宋简体"/>
          <w:b w:val="0"/>
          <w:bCs w:val="0"/>
          <w:sz w:val="36"/>
          <w:szCs w:val="36"/>
          <w:highlight w:val="none"/>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720" w:firstLineChars="200"/>
        <w:jc w:val="center"/>
        <w:textAlignment w:val="auto"/>
        <w:rPr>
          <w:rFonts w:hint="eastAsia" w:ascii="方正小标宋简体" w:hAnsi="方正小标宋简体" w:eastAsia="方正小标宋简体" w:cs="方正小标宋简体"/>
          <w:b w:val="0"/>
          <w:bCs w:val="0"/>
          <w:sz w:val="36"/>
          <w:szCs w:val="36"/>
          <w:highlight w:val="none"/>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720" w:firstLineChars="200"/>
        <w:jc w:val="center"/>
        <w:textAlignment w:val="auto"/>
        <w:rPr>
          <w:rFonts w:hint="eastAsia" w:ascii="方正小标宋简体" w:hAnsi="方正小标宋简体" w:eastAsia="方正小标宋简体" w:cs="方正小标宋简体"/>
          <w:b w:val="0"/>
          <w:bCs w:val="0"/>
          <w:sz w:val="36"/>
          <w:szCs w:val="36"/>
          <w:highlight w:val="none"/>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720" w:firstLineChars="200"/>
        <w:jc w:val="center"/>
        <w:textAlignment w:val="auto"/>
        <w:rPr>
          <w:rFonts w:hint="eastAsia" w:ascii="方正小标宋简体" w:hAnsi="方正小标宋简体" w:eastAsia="方正小标宋简体" w:cs="方正小标宋简体"/>
          <w:b w:val="0"/>
          <w:bCs w:val="0"/>
          <w:sz w:val="36"/>
          <w:szCs w:val="36"/>
          <w:highlight w:val="none"/>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720" w:firstLineChars="200"/>
        <w:jc w:val="center"/>
        <w:textAlignment w:val="auto"/>
        <w:rPr>
          <w:rFonts w:hint="eastAsia" w:ascii="方正小标宋简体" w:hAnsi="方正小标宋简体" w:eastAsia="方正小标宋简体" w:cs="方正小标宋简体"/>
          <w:b w:val="0"/>
          <w:bCs w:val="0"/>
          <w:sz w:val="36"/>
          <w:szCs w:val="36"/>
          <w:highlight w:val="none"/>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720" w:firstLineChars="200"/>
        <w:jc w:val="center"/>
        <w:textAlignment w:val="auto"/>
        <w:rPr>
          <w:rFonts w:hint="eastAsia" w:ascii="方正小标宋简体" w:hAnsi="方正小标宋简体" w:eastAsia="方正小标宋简体" w:cs="方正小标宋简体"/>
          <w:b w:val="0"/>
          <w:bCs w:val="0"/>
          <w:sz w:val="36"/>
          <w:szCs w:val="36"/>
          <w:highlight w:val="none"/>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720" w:firstLineChars="200"/>
        <w:jc w:val="center"/>
        <w:textAlignment w:val="auto"/>
        <w:rPr>
          <w:rFonts w:hint="eastAsia" w:ascii="方正小标宋简体" w:hAnsi="方正小标宋简体" w:eastAsia="方正小标宋简体" w:cs="方正小标宋简体"/>
          <w:b w:val="0"/>
          <w:bCs w:val="0"/>
          <w:sz w:val="36"/>
          <w:szCs w:val="36"/>
          <w:highlight w:val="none"/>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720" w:firstLineChars="200"/>
        <w:jc w:val="center"/>
        <w:textAlignment w:val="auto"/>
        <w:rPr>
          <w:rFonts w:hint="eastAsia" w:ascii="方正小标宋简体" w:hAnsi="方正小标宋简体" w:eastAsia="方正小标宋简体" w:cs="方正小标宋简体"/>
          <w:b w:val="0"/>
          <w:bCs w:val="0"/>
          <w:sz w:val="36"/>
          <w:szCs w:val="36"/>
          <w:highlight w:val="none"/>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720" w:firstLineChars="200"/>
        <w:jc w:val="center"/>
        <w:textAlignment w:val="auto"/>
        <w:rPr>
          <w:rFonts w:hint="eastAsia" w:ascii="方正小标宋简体" w:hAnsi="方正小标宋简体" w:eastAsia="方正小标宋简体" w:cs="方正小标宋简体"/>
          <w:b w:val="0"/>
          <w:bCs w:val="0"/>
          <w:sz w:val="36"/>
          <w:szCs w:val="36"/>
          <w:highlight w:val="none"/>
        </w:rPr>
      </w:pPr>
    </w:p>
    <w:p>
      <w:pPr>
        <w:pStyle w:val="2"/>
        <w:keepNext w:val="0"/>
        <w:keepLines w:val="0"/>
        <w:pageBreakBefore w:val="0"/>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kern w:val="2"/>
          <w:sz w:val="36"/>
          <w:szCs w:val="36"/>
          <w:highlight w:val="none"/>
          <w:lang w:val="en" w:eastAsia="zh-CN" w:bidi="ar-SA"/>
        </w:rPr>
      </w:pPr>
      <w:bookmarkStart w:id="3" w:name="_Toc16807"/>
      <w:r>
        <w:rPr>
          <w:rFonts w:hint="eastAsia" w:ascii="方正小标宋简体" w:hAnsi="方正小标宋简体" w:eastAsia="方正小标宋简体" w:cs="方正小标宋简体"/>
          <w:b w:val="0"/>
          <w:bCs w:val="0"/>
          <w:kern w:val="2"/>
          <w:sz w:val="36"/>
          <w:szCs w:val="36"/>
          <w:highlight w:val="none"/>
          <w:lang w:val="en-US" w:eastAsia="zh-CN" w:bidi="ar-SA"/>
        </w:rPr>
        <w:t>延期还本付息贷款政策</w:t>
      </w:r>
      <w:bookmarkEnd w:id="3"/>
    </w:p>
    <w:p>
      <w:pPr>
        <w:pStyle w:val="2"/>
        <w:keepNext w:val="0"/>
        <w:keepLines w:val="0"/>
        <w:pageBreakBefore w:val="0"/>
        <w:kinsoku/>
        <w:wordWrap/>
        <w:overflowPunct/>
        <w:topLinePunct w:val="0"/>
        <w:autoSpaceDE/>
        <w:autoSpaceDN/>
        <w:bidi w:val="0"/>
        <w:adjustRightInd/>
        <w:snapToGrid/>
        <w:spacing w:line="590" w:lineRule="exact"/>
        <w:textAlignment w:val="auto"/>
        <w:outlineLvl w:val="9"/>
        <w:rPr>
          <w:rFonts w:hint="eastAsia" w:ascii="仿宋_GB2312" w:hAnsi="仿宋_GB2312" w:eastAsia="仿宋_GB2312" w:cs="仿宋_GB2312"/>
          <w:sz w:val="32"/>
          <w:szCs w:val="32"/>
          <w:lang w:val="en"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outlineLvl w:val="9"/>
        <w:rPr>
          <w:rFonts w:hint="eastAsia"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一、服务对象和范围</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中小微企业和个体工商户、货车司机贷款及受疫情影响的个人住房与消费贷款等，积极帮扶前期信用记录良好、因疫情暂时遇困的行业企业。</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outlineLvl w:val="9"/>
        <w:rPr>
          <w:rFonts w:hint="eastAsia"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二、政策名称或政策依据</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1.《中国银保监会办公厅关于进一步做好受疫情影响困难行业企业等金融服务的通知》（银保监办发〔2022〕64号）。</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2.《山东省人民政府关于印发2022年“稳中求进”高质量发展政策清单（第二批）的通知》（鲁政发〔2022〕4号）</w:t>
      </w:r>
      <w:r>
        <w:rPr>
          <w:rFonts w:hint="eastAsia" w:ascii="仿宋_GB2312" w:hAnsi="仿宋_GB2312" w:eastAsia="仿宋_GB2312" w:cs="仿宋_GB2312"/>
          <w:sz w:val="32"/>
          <w:szCs w:val="32"/>
          <w:lang w:val="en-US" w:eastAsia="zh-CN"/>
        </w:rPr>
        <w:t>要求“加大对小微企业和个体工商户金融纾困力度，对存在还款困难的小微企业和个体工商户，银行机构不得盲目抽贷、断贷、压贷，采取展期、借新还旧、无还本续贷等形式，帮助企业做好资金接续。鼓励银行机构对受疫情影响的小微主体还款给予适当宽限期，不纳入违约客户名单，不进行分类下调”。</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sz w:val="32"/>
          <w:szCs w:val="32"/>
          <w:lang w:val="en-US" w:eastAsia="zh-CN"/>
        </w:rPr>
        <w:t>3.山东省发改委等20部门《关于印发&lt;山东省促进服务业领域困难行业恢复发展的实施方案&gt;的通知</w:t>
      </w:r>
      <w:r>
        <w:rPr>
          <w:rFonts w:hint="eastAsia" w:ascii="仿宋_GB2312" w:hAnsi="仿宋_GB2312" w:eastAsia="仿宋_GB2312" w:cs="仿宋_GB2312"/>
          <w:color w:val="auto"/>
          <w:kern w:val="2"/>
          <w:sz w:val="32"/>
          <w:szCs w:val="32"/>
          <w:lang w:val="en-US" w:eastAsia="zh-CN" w:bidi="ar-SA"/>
        </w:rPr>
        <w:t>》</w:t>
      </w:r>
      <w:r>
        <w:rPr>
          <w:rFonts w:hint="eastAsia" w:ascii="仿宋_GB2312" w:hAnsi="仿宋_GB2312" w:eastAsia="仿宋_GB2312" w:cs="仿宋_GB2312"/>
          <w:sz w:val="32"/>
          <w:szCs w:val="32"/>
          <w:lang w:val="en-US" w:eastAsia="zh-CN"/>
        </w:rPr>
        <w:t>（鲁发改财金〔2022〕244号）要求“做好延期还本付息政策到期的接续转换，灵活采取展期、借新还旧、无还本续贷、变更授信品种、调整还款方式等形式，帮助服务业小微企业做好资金接续”。</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sz w:val="32"/>
          <w:szCs w:val="32"/>
          <w:lang w:val="en-US" w:eastAsia="zh-CN"/>
        </w:rPr>
        <w:t>4.山东省地方金融监管局等3部门《关于印发&lt;金融服务支持疫情防控和经济社会稳定发展十条措施&gt;的通知》（鲁金监字〔2022〕32号）要求“加大对小微企业和个体工商户金融纾困力度，对因疫情影响存在还款困难的小微企业和个体工商户，银行机构不得盲目抽贷、断贷、压贷，要积极做好延期还本付息政策到期的接续转换，灵活采取展期、借新还旧、无还本续贷、变更授信品种、调整还款方式等形式，帮助企业做好资金接续。鼓励银行机构对受疫情影响的小微主体还款给予适当宽限期，不纳入违约客户名单，不进行分类下调”。</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sz w:val="32"/>
          <w:szCs w:val="32"/>
          <w:lang w:val="en-US" w:eastAsia="zh-CN"/>
        </w:rPr>
        <w:t>5.《东营市人民政府关于印发东营市2022年“稳中求进”高质量发展政策清单（第二批）的通知》（东政发〔2022〕5号）要求“加大小微企业和个体工商户金融纾困力度。对存在还款困难的小微企业和个体工商户，银行机构不得盲目抽贷、断贷、压贷，采取展期、借新还旧、无还本续贷等形式，帮助企业做好资金接续。鼓励银行机构对受疫情影响的小微主体还款给予适当宽限期，不纳入违约客户名单，不进行分类下调”以及“鼓励银行机构开展贷款延期还本付息政策。按照市场化原则，对中小微企业、个体工商户、货车司机的贷款，以及受疫情影响的个人住房与消费贷款等，实施延期还本付息，做到应延尽延，延期还本付息日期原则上不超过2022年年底。对延期贷款坚持实质性风险判断，免收罚息，不单独因疫情因素下调贷款风险分类，不影响征信记录”。</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outlineLvl w:val="9"/>
        <w:rPr>
          <w:rFonts w:hint="eastAsia"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三、政策措施内容及标准</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（一）开展续贷服务。银行机构加强因疫情暂时遇困行业企业融资需求的跟踪分析，主动提前开展接续融资信贷评审，按照市场化原则，对符合条件的积极给予续贷支持。</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支持延期还本付息。商业银行等金融机构继续按市场化原则与中小微企业（含中小微企业主）和个体工商户、货车司机等自主协商，对其贷款实施延期还本付息，努力做到应延尽延，延期还本付息日期原则上不超过2022年底。对于受疫情影响严重的餐饮、零售、文化、旅游、交通运输等困难行业2022年底前到期的普惠型小微企业贷款，应根据实际情况给予倾斜，并适当放宽延期期限。办理延期时不得“一刀切”地强制要求增加增信分险措施。延期贷款涉及政府性融资担保的，有关融资担保机构要积极给予支持，帮助受疫情影响企业续保续贷。</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完善个贷还款安排。对因感染新冠肺炎住院治疗或隔离、受疫情影响隔离观察或失去收入来源的人群，金融机构对其存续的个人住房、消费等贷款，灵活采取合理延后还款时间、延长贷款期限、延期还本等方式调整还款计划。</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（四）准确实施贷款分类。对第（十）、（十一）条实施延期的贷款，在延期过程中坚持实质性风险判断，不单独因疫情因素下调贷款风险分类，不影响征信记录，并免收罚息。</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（五）提供便利还贷方式。对生产经营和资金周转连续性强、有经常性短期循环用信需求的企业和农业生产经营主体，鼓励银行机构推广“随借随还”的贷款模式。</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outlineLvl w:val="9"/>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四、申报办理流程</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sz w:val="32"/>
          <w:szCs w:val="32"/>
          <w:lang w:val="en-US" w:eastAsia="zh-CN"/>
        </w:rPr>
        <w:t>目前银行机构通过本行官方网站公示、微信公众号发布、电话短信及企业微信告知等渠道公开本行有关政策，客户可查询了解。其中关于货车司机的贷款延期政策，经东营银保监分局调度，全市有7家银行机构已开展了商用车贷款业务，分局已督促这7家银行通过电话、微信等多种形式主动通知本行存量客户。客户也可直接与原贷款的银行经办人员或网点联系、咨询并协商办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outlineLvl w:val="9"/>
        <w:rPr>
          <w:rFonts w:hint="eastAsia" w:ascii="CESI楷体-GB2312" w:hAnsi="CESI楷体-GB2312" w:eastAsia="CESI楷体-GB2312" w:cs="CESI楷体-GB2312"/>
          <w:color w:val="auto"/>
          <w:kern w:val="2"/>
          <w:sz w:val="32"/>
          <w:szCs w:val="32"/>
          <w:lang w:val="en-US" w:eastAsia="zh-CN" w:bidi="ar-SA"/>
        </w:rPr>
      </w:pPr>
      <w:r>
        <w:rPr>
          <w:rFonts w:hint="eastAsia" w:ascii="CESI楷体-GB2312" w:hAnsi="CESI楷体-GB2312" w:eastAsia="CESI楷体-GB2312" w:cs="CESI楷体-GB2312"/>
          <w:color w:val="auto"/>
          <w:kern w:val="2"/>
          <w:sz w:val="32"/>
          <w:szCs w:val="32"/>
          <w:lang w:val="en-US" w:eastAsia="zh-CN" w:bidi="ar-SA"/>
        </w:rPr>
        <w:t>主办单位：东营银保监分局  联系电话：7769577</w:t>
      </w:r>
    </w:p>
    <w:p>
      <w:pPr>
        <w:pStyle w:val="2"/>
        <w:keepNext w:val="0"/>
        <w:keepLines w:val="0"/>
        <w:pageBreakBefore w:val="0"/>
        <w:kinsoku/>
        <w:wordWrap/>
        <w:overflowPunct/>
        <w:topLinePunct w:val="0"/>
        <w:autoSpaceDE/>
        <w:autoSpaceDN/>
        <w:bidi w:val="0"/>
        <w:adjustRightInd/>
        <w:snapToGrid/>
        <w:spacing w:line="590" w:lineRule="exact"/>
        <w:ind w:left="0" w:leftChars="0" w:firstLine="0" w:firstLineChars="0"/>
        <w:textAlignment w:val="auto"/>
      </w:pPr>
    </w:p>
    <w:p>
      <w:pPr>
        <w:pStyle w:val="2"/>
        <w:keepNext w:val="0"/>
        <w:keepLines w:val="0"/>
        <w:pageBreakBefore w:val="0"/>
        <w:kinsoku/>
        <w:wordWrap/>
        <w:overflowPunct/>
        <w:topLinePunct w:val="0"/>
        <w:autoSpaceDE/>
        <w:autoSpaceDN/>
        <w:bidi w:val="0"/>
        <w:adjustRightInd/>
        <w:snapToGrid/>
        <w:spacing w:line="590" w:lineRule="exact"/>
        <w:ind w:left="0" w:leftChars="0" w:firstLine="0" w:firstLineChars="0"/>
        <w:textAlignment w:val="auto"/>
      </w:pPr>
    </w:p>
    <w:p>
      <w:pPr>
        <w:pStyle w:val="2"/>
        <w:keepNext w:val="0"/>
        <w:keepLines w:val="0"/>
        <w:pageBreakBefore w:val="0"/>
        <w:kinsoku/>
        <w:wordWrap/>
        <w:overflowPunct/>
        <w:topLinePunct w:val="0"/>
        <w:autoSpaceDE/>
        <w:autoSpaceDN/>
        <w:bidi w:val="0"/>
        <w:adjustRightInd/>
        <w:snapToGrid/>
        <w:spacing w:line="590" w:lineRule="exact"/>
        <w:ind w:left="0" w:leftChars="0" w:firstLine="0" w:firstLineChars="0"/>
        <w:textAlignment w:val="auto"/>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59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eastAsia="zh-CN"/>
        </w:rPr>
      </w:pPr>
    </w:p>
    <w:p>
      <w:pPr>
        <w:keepNext w:val="0"/>
        <w:keepLines w:val="0"/>
        <w:pageBreakBefore w:val="0"/>
        <w:kinsoku/>
        <w:wordWrap/>
        <w:overflowPunct/>
        <w:topLinePunct w:val="0"/>
        <w:autoSpaceDE/>
        <w:autoSpaceDN/>
        <w:bidi w:val="0"/>
        <w:adjustRightInd/>
        <w:snapToGrid/>
        <w:spacing w:line="59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eastAsia="zh-CN"/>
        </w:rPr>
      </w:pPr>
      <w:bookmarkStart w:id="4" w:name="_Toc20794"/>
      <w:r>
        <w:rPr>
          <w:rFonts w:hint="eastAsia" w:ascii="方正小标宋简体" w:hAnsi="方正小标宋简体" w:eastAsia="方正小标宋简体" w:cs="方正小标宋简体"/>
          <w:b w:val="0"/>
          <w:bCs w:val="0"/>
          <w:sz w:val="36"/>
          <w:szCs w:val="36"/>
          <w:lang w:eastAsia="zh-CN"/>
        </w:rPr>
        <w:t>东青惠企贷支持青年创新创业</w:t>
      </w:r>
      <w:bookmarkEnd w:id="4"/>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黑体" w:eastAsia="黑体" w:cs="黑体"/>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color w:val="auto"/>
          <w:kern w:val="2"/>
          <w:sz w:val="32"/>
          <w:szCs w:val="32"/>
          <w:lang w:val="en-US" w:eastAsia="zh-CN" w:bidi="ar-SA"/>
        </w:rPr>
        <w:t>一、服务对象和范围</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lang w:val="en-US" w:eastAsia="zh-CN"/>
        </w:rPr>
      </w:pPr>
      <w:r>
        <w:rPr>
          <w:rFonts w:hint="eastAsia" w:hAnsi="仿宋_GB2312" w:eastAsia="仿宋_GB2312" w:cs="仿宋_GB2312"/>
          <w:snapToGrid w:val="0"/>
          <w:color w:val="000000"/>
          <w:kern w:val="0"/>
          <w:sz w:val="32"/>
          <w:szCs w:val="32"/>
        </w:rPr>
        <w:t>东青惠企贷</w:t>
      </w:r>
      <w:r>
        <w:rPr>
          <w:rFonts w:hint="eastAsia" w:eastAsia="仿宋_GB2312" w:cs="仿宋_GB2312"/>
          <w:snapToGrid w:val="0"/>
          <w:color w:val="000000"/>
          <w:kern w:val="0"/>
          <w:sz w:val="32"/>
          <w:szCs w:val="32"/>
        </w:rPr>
        <w:t>”</w:t>
      </w:r>
      <w:r>
        <w:rPr>
          <w:rFonts w:hint="eastAsia" w:hAnsi="仿宋_GB2312" w:eastAsia="仿宋_GB2312" w:cs="仿宋_GB2312"/>
          <w:snapToGrid w:val="0"/>
          <w:color w:val="000000"/>
          <w:kern w:val="0"/>
          <w:sz w:val="32"/>
          <w:szCs w:val="32"/>
        </w:rPr>
        <w:t>面向在我市范围内创业的</w:t>
      </w:r>
      <w:r>
        <w:rPr>
          <w:rFonts w:hint="eastAsia" w:eastAsia="仿宋_GB2312" w:cs="仿宋_GB2312"/>
          <w:snapToGrid w:val="0"/>
          <w:color w:val="000000"/>
          <w:kern w:val="0"/>
          <w:sz w:val="32"/>
          <w:szCs w:val="32"/>
        </w:rPr>
        <w:t>40</w:t>
      </w:r>
      <w:r>
        <w:rPr>
          <w:rFonts w:hint="eastAsia" w:hAnsi="仿宋_GB2312" w:eastAsia="仿宋_GB2312" w:cs="仿宋_GB2312"/>
          <w:snapToGrid w:val="0"/>
          <w:color w:val="000000"/>
          <w:kern w:val="0"/>
          <w:sz w:val="32"/>
          <w:szCs w:val="32"/>
        </w:rPr>
        <w:t>岁以下青年创业者。贷款主体为小微企业、个体工商户或小微企业主。小微企业，是指除广告业、桑拿、按摩、网吧、氧吧等高利润行业及其他国家产业政策不鼓励的行业以外的所有企业。</w:t>
      </w:r>
      <w:r>
        <w:rPr>
          <w:rFonts w:hint="eastAsia" w:hAnsi="仿宋_GB2312" w:eastAsia="仿宋_GB2312" w:cs="仿宋_GB2312"/>
          <w:snapToGrid w:val="0"/>
          <w:color w:val="000000"/>
          <w:kern w:val="0"/>
          <w:sz w:val="32"/>
          <w:szCs w:val="32"/>
          <w:lang w:val="en-US" w:eastAsia="zh-CN"/>
        </w:rPr>
        <w:t xml:space="preserve"> </w:t>
      </w:r>
      <w:r>
        <w:rPr>
          <w:rFonts w:hint="eastAsia" w:hAnsi="仿宋_GB2312" w:eastAsia="仿宋_GB2312" w:cs="仿宋_GB2312"/>
          <w:snapToGrid w:val="0"/>
          <w:color w:val="000000"/>
          <w:kern w:val="0"/>
          <w:sz w:val="32"/>
          <w:szCs w:val="32"/>
        </w:rPr>
        <w:t>青年创业孵化基地优秀创业青年、青年创业大赛获奖选手、青年退役军人、农村创业大学生等青年群体或其创办企业优先扶持。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lang w:eastAsia="zh-CN"/>
        </w:rPr>
        <w:t>有关条件：（</w:t>
      </w:r>
      <w:r>
        <w:rPr>
          <w:rFonts w:hint="eastAsia" w:hAnsi="仿宋_GB2312" w:eastAsia="仿宋_GB2312" w:cs="仿宋_GB2312"/>
          <w:snapToGrid w:val="0"/>
          <w:color w:val="000000"/>
          <w:kern w:val="0"/>
          <w:sz w:val="32"/>
          <w:szCs w:val="32"/>
          <w:lang w:val="en-US" w:eastAsia="zh-CN"/>
        </w:rPr>
        <w:t>1</w:t>
      </w:r>
      <w:r>
        <w:rPr>
          <w:rFonts w:hint="eastAsia" w:hAnsi="仿宋_GB2312" w:eastAsia="仿宋_GB2312" w:cs="仿宋_GB2312"/>
          <w:snapToGrid w:val="0"/>
          <w:color w:val="000000"/>
          <w:kern w:val="0"/>
          <w:sz w:val="32"/>
          <w:szCs w:val="32"/>
          <w:lang w:eastAsia="zh-CN"/>
        </w:rPr>
        <w:t>）</w:t>
      </w:r>
      <w:r>
        <w:rPr>
          <w:rFonts w:hint="eastAsia" w:hAnsi="仿宋_GB2312" w:eastAsia="仿宋_GB2312" w:cs="仿宋_GB2312"/>
          <w:snapToGrid w:val="0"/>
          <w:color w:val="000000"/>
          <w:kern w:val="0"/>
          <w:sz w:val="32"/>
          <w:szCs w:val="32"/>
        </w:rPr>
        <w:t>申请贷款企业（个体工商户）注册时间须在八年以下。企业产权清晰、制度健全，合法经营、照章纳税、信用状况良好，急需资金扶持。企业从事的生产经营项目低碳环保、科技含量高、具有较强的成长性，符合国家产业政策。</w:t>
      </w:r>
      <w:r>
        <w:rPr>
          <w:rFonts w:hint="eastAsia" w:hAnsi="仿宋_GB2312" w:eastAsia="仿宋_GB2312" w:cs="仿宋_GB2312"/>
          <w:snapToGrid w:val="0"/>
          <w:color w:val="000000"/>
          <w:kern w:val="0"/>
          <w:sz w:val="32"/>
          <w:szCs w:val="32"/>
          <w:lang w:eastAsia="zh-CN"/>
        </w:rPr>
        <w:t>（</w:t>
      </w:r>
      <w:r>
        <w:rPr>
          <w:rFonts w:hint="eastAsia" w:hAnsi="仿宋_GB2312" w:eastAsia="仿宋_GB2312" w:cs="仿宋_GB2312"/>
          <w:snapToGrid w:val="0"/>
          <w:color w:val="000000"/>
          <w:kern w:val="0"/>
          <w:sz w:val="32"/>
          <w:szCs w:val="32"/>
          <w:lang w:val="en-US" w:eastAsia="zh-CN"/>
        </w:rPr>
        <w:t>2</w:t>
      </w:r>
      <w:r>
        <w:rPr>
          <w:rFonts w:hint="eastAsia" w:hAnsi="仿宋_GB2312" w:eastAsia="仿宋_GB2312" w:cs="仿宋_GB2312"/>
          <w:snapToGrid w:val="0"/>
          <w:color w:val="000000"/>
          <w:kern w:val="0"/>
          <w:sz w:val="32"/>
          <w:szCs w:val="32"/>
          <w:lang w:eastAsia="zh-CN"/>
        </w:rPr>
        <w:t>）</w:t>
      </w:r>
      <w:r>
        <w:rPr>
          <w:rFonts w:hint="eastAsia" w:hAnsi="仿宋_GB2312" w:eastAsia="仿宋_GB2312" w:cs="仿宋_GB2312"/>
          <w:snapToGrid w:val="0"/>
          <w:color w:val="000000"/>
          <w:kern w:val="0"/>
          <w:sz w:val="32"/>
          <w:szCs w:val="32"/>
        </w:rPr>
        <w:t>申请贷款企业（个体工商户）就业带动能力强，安置登记失业人员、高校毕业生、退伍军人、返乡农民工等就业困难群体达到企业现有职工总数的</w:t>
      </w:r>
      <w:r>
        <w:rPr>
          <w:rFonts w:hint="eastAsia" w:eastAsia="仿宋_GB2312" w:cs="仿宋_GB2312"/>
          <w:snapToGrid w:val="0"/>
          <w:color w:val="000000"/>
          <w:kern w:val="0"/>
          <w:sz w:val="32"/>
          <w:szCs w:val="32"/>
        </w:rPr>
        <w:t>30%</w:t>
      </w:r>
      <w:r>
        <w:rPr>
          <w:rFonts w:hint="eastAsia" w:hAnsi="仿宋_GB2312" w:eastAsia="仿宋_GB2312" w:cs="仿宋_GB2312"/>
          <w:snapToGrid w:val="0"/>
          <w:color w:val="000000"/>
          <w:kern w:val="0"/>
          <w:sz w:val="32"/>
          <w:szCs w:val="32"/>
        </w:rPr>
        <w:t>以上（职工总数</w:t>
      </w:r>
      <w:r>
        <w:rPr>
          <w:rFonts w:hint="eastAsia" w:eastAsia="仿宋_GB2312" w:cs="仿宋_GB2312"/>
          <w:snapToGrid w:val="0"/>
          <w:color w:val="000000"/>
          <w:kern w:val="0"/>
          <w:sz w:val="32"/>
          <w:szCs w:val="32"/>
        </w:rPr>
        <w:t>100</w:t>
      </w:r>
      <w:r>
        <w:rPr>
          <w:rFonts w:hint="eastAsia" w:hAnsi="仿宋_GB2312" w:eastAsia="仿宋_GB2312" w:cs="仿宋_GB2312"/>
          <w:snapToGrid w:val="0"/>
          <w:color w:val="000000"/>
          <w:kern w:val="0"/>
          <w:sz w:val="32"/>
          <w:szCs w:val="32"/>
        </w:rPr>
        <w:t>人以上的达到</w:t>
      </w:r>
      <w:r>
        <w:rPr>
          <w:rFonts w:hint="eastAsia" w:eastAsia="仿宋_GB2312" w:cs="仿宋_GB2312"/>
          <w:snapToGrid w:val="0"/>
          <w:color w:val="000000"/>
          <w:kern w:val="0"/>
          <w:sz w:val="32"/>
          <w:szCs w:val="32"/>
        </w:rPr>
        <w:t>15%</w:t>
      </w:r>
      <w:r>
        <w:rPr>
          <w:rFonts w:hint="eastAsia" w:hAnsi="仿宋_GB2312" w:eastAsia="仿宋_GB2312" w:cs="仿宋_GB2312"/>
          <w:snapToGrid w:val="0"/>
          <w:color w:val="000000"/>
          <w:kern w:val="0"/>
          <w:sz w:val="32"/>
          <w:szCs w:val="32"/>
        </w:rPr>
        <w:t>以上），带动</w:t>
      </w:r>
      <w:r>
        <w:rPr>
          <w:rFonts w:hint="eastAsia" w:eastAsia="仿宋_GB2312" w:cs="仿宋_GB2312"/>
          <w:snapToGrid w:val="0"/>
          <w:color w:val="000000"/>
          <w:kern w:val="0"/>
          <w:sz w:val="32"/>
          <w:szCs w:val="32"/>
        </w:rPr>
        <w:t>5</w:t>
      </w:r>
      <w:r>
        <w:rPr>
          <w:rFonts w:hint="eastAsia" w:hAnsi="仿宋_GB2312" w:eastAsia="仿宋_GB2312" w:cs="仿宋_GB2312"/>
          <w:snapToGrid w:val="0"/>
          <w:color w:val="000000"/>
          <w:kern w:val="0"/>
          <w:sz w:val="32"/>
          <w:szCs w:val="32"/>
        </w:rPr>
        <w:t>名以上困难人员实现就业。</w:t>
      </w:r>
    </w:p>
    <w:p>
      <w:pPr>
        <w:pStyle w:val="2"/>
        <w:keepNext w:val="0"/>
        <w:keepLines w:val="0"/>
        <w:pageBreakBefore w:val="0"/>
        <w:widowControl w:val="0"/>
        <w:numPr>
          <w:ilvl w:val="0"/>
          <w:numId w:val="1"/>
        </w:numPr>
        <w:kinsoku/>
        <w:wordWrap/>
        <w:overflowPunct/>
        <w:topLinePunct w:val="0"/>
        <w:autoSpaceDE/>
        <w:autoSpaceDN/>
        <w:bidi w:val="0"/>
        <w:spacing w:line="560" w:lineRule="exact"/>
        <w:textAlignment w:val="auto"/>
        <w:rPr>
          <w:rFonts w:hint="eastAsia" w:eastAsia="黑体" w:cstheme="minorBidi"/>
          <w:snapToGrid w:val="0"/>
          <w:color w:val="000000"/>
          <w:kern w:val="0"/>
          <w:sz w:val="32"/>
          <w:szCs w:val="32"/>
          <w:lang w:val="en-US" w:eastAsia="zh-CN" w:bidi="ar-SA"/>
        </w:rPr>
      </w:pPr>
      <w:r>
        <w:rPr>
          <w:rFonts w:hint="eastAsia" w:ascii="仿宋" w:hAnsi="仿宋" w:eastAsia="黑体" w:cstheme="minorBidi"/>
          <w:snapToGrid w:val="0"/>
          <w:color w:val="000000"/>
          <w:kern w:val="0"/>
          <w:sz w:val="32"/>
          <w:szCs w:val="32"/>
          <w:lang w:val="en-US" w:eastAsia="zh-CN" w:bidi="ar-SA"/>
        </w:rPr>
        <w:t>政策</w:t>
      </w:r>
      <w:r>
        <w:rPr>
          <w:rFonts w:hint="eastAsia" w:eastAsia="黑体" w:cstheme="minorBidi"/>
          <w:snapToGrid w:val="0"/>
          <w:color w:val="000000"/>
          <w:kern w:val="0"/>
          <w:sz w:val="32"/>
          <w:szCs w:val="32"/>
          <w:lang w:val="en-US" w:eastAsia="zh-CN" w:bidi="ar-SA"/>
        </w:rPr>
        <w:t>依据</w:t>
      </w:r>
    </w:p>
    <w:p>
      <w:pPr>
        <w:keepNext w:val="0"/>
        <w:keepLines w:val="0"/>
        <w:pageBreakBefore w:val="0"/>
        <w:widowControl w:val="0"/>
        <w:tabs>
          <w:tab w:val="left" w:pos="2190"/>
          <w:tab w:val="center" w:pos="3969"/>
        </w:tabs>
        <w:kinsoku/>
        <w:wordWrap/>
        <w:overflowPunct/>
        <w:topLinePunct w:val="0"/>
        <w:autoSpaceDE/>
        <w:autoSpaceDN/>
        <w:bidi w:val="0"/>
        <w:adjustRightInd w:val="0"/>
        <w:snapToGrid w:val="0"/>
        <w:spacing w:line="560" w:lineRule="exact"/>
        <w:jc w:val="left"/>
        <w:textAlignment w:val="auto"/>
        <w:rPr>
          <w:rFonts w:hint="eastAsia" w:eastAsia="黑体" w:cstheme="minorBidi"/>
          <w:snapToGrid w:val="0"/>
          <w:color w:val="000000"/>
          <w:kern w:val="0"/>
          <w:sz w:val="32"/>
          <w:szCs w:val="32"/>
          <w:lang w:val="en-US" w:eastAsia="zh-CN" w:bidi="ar-SA"/>
        </w:rPr>
      </w:pPr>
      <w:r>
        <w:rPr>
          <w:rFonts w:hint="eastAsia" w:ascii="Times New Roman" w:hAnsi="Times New Roman" w:eastAsia="仿宋_GB2312" w:cs="仿宋_GB2312"/>
          <w:snapToGrid w:val="0"/>
          <w:color w:val="000000"/>
          <w:kern w:val="0"/>
          <w:sz w:val="32"/>
          <w:szCs w:val="32"/>
        </w:rPr>
        <w:t>共青团东营市委、人民银行东营市中心支行、东营银保监分局、中国农业银行东营分行、中国建设银行东营分行、中国邮政储蓄银行东营市分行、东营银行、山东省农村信用社联合社东营审计中心</w:t>
      </w:r>
      <w:r>
        <w:rPr>
          <w:rFonts w:hint="eastAsia" w:ascii="Times New Roman" w:hAnsi="Times New Roman" w:eastAsia="仿宋_GB2312" w:cs="仿宋_GB2312"/>
          <w:snapToGrid w:val="0"/>
          <w:color w:val="000000"/>
          <w:kern w:val="0"/>
          <w:sz w:val="32"/>
          <w:szCs w:val="32"/>
          <w:lang w:eastAsia="zh-CN"/>
        </w:rPr>
        <w:t>联合出台</w:t>
      </w:r>
      <w:r>
        <w:rPr>
          <w:rFonts w:hint="eastAsia" w:ascii="Times New Roman" w:hAnsi="Times New Roman" w:eastAsia="仿宋_GB2312"/>
          <w:snapToGrid w:val="0"/>
          <w:color w:val="000000"/>
          <w:kern w:val="0"/>
          <w:sz w:val="32"/>
          <w:szCs w:val="32"/>
        </w:rPr>
        <w:t>《“东青惠企贷”实施细则》</w:t>
      </w:r>
      <w:r>
        <w:rPr>
          <w:rFonts w:hint="eastAsia" w:ascii="Times New Roman" w:hAnsi="Times New Roman" w:eastAsia="仿宋_GB2312" w:cs="仿宋_GB2312"/>
          <w:snapToGrid w:val="0"/>
          <w:color w:val="000000"/>
          <w:kern w:val="0"/>
          <w:sz w:val="32"/>
          <w:szCs w:val="32"/>
          <w:lang w:eastAsia="zh-CN"/>
        </w:rPr>
        <w:t>（东青联〔2022〕</w:t>
      </w:r>
      <w:r>
        <w:rPr>
          <w:rFonts w:hint="eastAsia" w:ascii="Times New Roman" w:hAnsi="Times New Roman" w:eastAsia="仿宋_GB2312" w:cs="仿宋_GB2312"/>
          <w:snapToGrid w:val="0"/>
          <w:color w:val="000000"/>
          <w:kern w:val="0"/>
          <w:sz w:val="32"/>
          <w:szCs w:val="32"/>
          <w:lang w:val="en-US" w:eastAsia="zh-CN"/>
        </w:rPr>
        <w:t>7</w:t>
      </w:r>
      <w:r>
        <w:rPr>
          <w:rFonts w:hint="eastAsia" w:ascii="Times New Roman" w:hAnsi="Times New Roman" w:eastAsia="仿宋_GB2312" w:cs="仿宋_GB2312"/>
          <w:snapToGrid w:val="0"/>
          <w:color w:val="000000"/>
          <w:kern w:val="0"/>
          <w:sz w:val="32"/>
          <w:szCs w:val="32"/>
          <w:lang w:eastAsia="zh-CN"/>
        </w:rPr>
        <w:t>号）。</w:t>
      </w:r>
    </w:p>
    <w:p>
      <w:pPr>
        <w:adjustRightInd w:val="0"/>
        <w:snapToGrid w:val="0"/>
        <w:spacing w:line="560" w:lineRule="exact"/>
        <w:jc w:val="left"/>
        <w:rPr>
          <w:rFonts w:eastAsia="黑体"/>
          <w:snapToGrid w:val="0"/>
          <w:color w:val="000000"/>
          <w:kern w:val="0"/>
          <w:sz w:val="32"/>
          <w:szCs w:val="32"/>
        </w:rPr>
      </w:pPr>
      <w:r>
        <w:rPr>
          <w:rFonts w:hint="eastAsia" w:eastAsia="黑体"/>
          <w:snapToGrid w:val="0"/>
          <w:color w:val="000000"/>
          <w:kern w:val="0"/>
          <w:sz w:val="32"/>
          <w:szCs w:val="32"/>
          <w:lang w:eastAsia="zh-CN"/>
        </w:rPr>
        <w:t>三、</w:t>
      </w:r>
      <w:r>
        <w:rPr>
          <w:rFonts w:eastAsia="黑体"/>
          <w:snapToGrid w:val="0"/>
          <w:color w:val="000000"/>
          <w:kern w:val="0"/>
          <w:sz w:val="32"/>
          <w:szCs w:val="32"/>
        </w:rPr>
        <w:t>贷款额度、期限和利率</w:t>
      </w:r>
    </w:p>
    <w:p>
      <w:pPr>
        <w:adjustRightInd w:val="0"/>
        <w:snapToGrid w:val="0"/>
        <w:spacing w:line="560" w:lineRule="exact"/>
        <w:ind w:firstLine="640" w:firstLineChars="200"/>
        <w:rPr>
          <w:rFonts w:eastAsia="仿宋_GB2312"/>
          <w:snapToGrid w:val="0"/>
          <w:color w:val="000000"/>
          <w:spacing w:val="-4"/>
          <w:kern w:val="0"/>
          <w:sz w:val="32"/>
          <w:szCs w:val="32"/>
        </w:rPr>
      </w:pPr>
      <w:r>
        <w:rPr>
          <w:rFonts w:hint="eastAsia" w:eastAsia="仿宋_GB2312"/>
          <w:snapToGrid w:val="0"/>
          <w:color w:val="000000"/>
          <w:kern w:val="0"/>
          <w:sz w:val="32"/>
          <w:szCs w:val="32"/>
        </w:rPr>
        <w:t>相关银行业</w:t>
      </w:r>
      <w:r>
        <w:rPr>
          <w:rFonts w:eastAsia="仿宋_GB2312"/>
          <w:snapToGrid w:val="0"/>
          <w:color w:val="000000"/>
          <w:kern w:val="0"/>
          <w:sz w:val="32"/>
          <w:szCs w:val="32"/>
        </w:rPr>
        <w:t>金融机构根据申请企业</w:t>
      </w:r>
      <w:r>
        <w:rPr>
          <w:rFonts w:hint="eastAsia" w:hAnsi="仿宋_GB2312" w:eastAsia="仿宋_GB2312" w:cs="仿宋_GB2312"/>
          <w:snapToGrid w:val="0"/>
          <w:color w:val="000000"/>
          <w:kern w:val="0"/>
          <w:sz w:val="32"/>
          <w:szCs w:val="32"/>
        </w:rPr>
        <w:t>（个体工商户）</w:t>
      </w:r>
      <w:r>
        <w:rPr>
          <w:rFonts w:eastAsia="仿宋_GB2312"/>
          <w:snapToGrid w:val="0"/>
          <w:color w:val="000000"/>
          <w:kern w:val="0"/>
          <w:sz w:val="32"/>
          <w:szCs w:val="32"/>
        </w:rPr>
        <w:t>生产经营情况、生产经营周期、借款用途、偿债能力、申请额度等要素确定企业贷款额度，</w:t>
      </w:r>
      <w:r>
        <w:rPr>
          <w:rFonts w:hint="eastAsia" w:eastAsia="仿宋_GB2312"/>
          <w:snapToGrid w:val="0"/>
          <w:color w:val="000000"/>
          <w:kern w:val="0"/>
          <w:sz w:val="32"/>
          <w:szCs w:val="32"/>
        </w:rPr>
        <w:t>额度</w:t>
      </w:r>
      <w:r>
        <w:rPr>
          <w:rFonts w:hint="eastAsia" w:hAnsi="仿宋_GB2312" w:eastAsia="仿宋_GB2312" w:cs="仿宋_GB2312"/>
          <w:snapToGrid w:val="0"/>
          <w:color w:val="000000"/>
          <w:kern w:val="0"/>
          <w:sz w:val="32"/>
          <w:szCs w:val="32"/>
        </w:rPr>
        <w:t>为</w:t>
      </w:r>
      <w:r>
        <w:rPr>
          <w:rFonts w:hint="eastAsia" w:eastAsia="仿宋_GB2312" w:cs="仿宋_GB2312"/>
          <w:snapToGrid w:val="0"/>
          <w:color w:val="000000"/>
          <w:kern w:val="0"/>
          <w:sz w:val="32"/>
          <w:szCs w:val="32"/>
        </w:rPr>
        <w:t>300</w:t>
      </w:r>
      <w:r>
        <w:rPr>
          <w:rFonts w:hint="eastAsia" w:hAnsi="仿宋_GB2312" w:eastAsia="仿宋_GB2312" w:cs="仿宋_GB2312"/>
          <w:snapToGrid w:val="0"/>
          <w:color w:val="000000"/>
          <w:kern w:val="0"/>
          <w:sz w:val="32"/>
          <w:szCs w:val="32"/>
        </w:rPr>
        <w:t>万</w:t>
      </w:r>
      <w:r>
        <w:rPr>
          <w:rFonts w:hint="eastAsia" w:eastAsia="仿宋_GB2312"/>
          <w:snapToGrid w:val="0"/>
          <w:color w:val="000000"/>
          <w:kern w:val="0"/>
          <w:sz w:val="32"/>
          <w:szCs w:val="32"/>
        </w:rPr>
        <w:t>元以内，</w:t>
      </w:r>
      <w:r>
        <w:rPr>
          <w:rFonts w:eastAsia="仿宋_GB2312"/>
          <w:snapToGrid w:val="0"/>
          <w:color w:val="000000"/>
          <w:kern w:val="0"/>
          <w:sz w:val="32"/>
          <w:szCs w:val="32"/>
        </w:rPr>
        <w:t>贷款期限为一年</w:t>
      </w:r>
      <w:r>
        <w:rPr>
          <w:rFonts w:hint="eastAsia" w:eastAsia="仿宋_GB2312"/>
          <w:snapToGrid w:val="0"/>
          <w:color w:val="000000"/>
          <w:kern w:val="0"/>
          <w:sz w:val="32"/>
          <w:szCs w:val="32"/>
        </w:rPr>
        <w:t>至三年，利率为贷款合同签订之日人民银行公布的一年期LPR+50BP。</w:t>
      </w:r>
      <w:r>
        <w:rPr>
          <w:rFonts w:hint="eastAsia" w:eastAsia="仿宋_GB2312"/>
          <w:snapToGrid w:val="0"/>
          <w:color w:val="000000"/>
          <w:spacing w:val="-4"/>
          <w:kern w:val="0"/>
          <w:sz w:val="32"/>
          <w:szCs w:val="32"/>
        </w:rPr>
        <w:t>中国</w:t>
      </w:r>
      <w:r>
        <w:rPr>
          <w:rFonts w:hint="eastAsia" w:eastAsia="仿宋_GB2312" w:cs="仿宋_GB2312"/>
          <w:snapToGrid w:val="0"/>
          <w:color w:val="000000"/>
          <w:spacing w:val="-4"/>
          <w:kern w:val="0"/>
          <w:sz w:val="32"/>
          <w:szCs w:val="32"/>
        </w:rPr>
        <w:t>人民银行东营市中心支行、东营银保监分局</w:t>
      </w:r>
      <w:r>
        <w:rPr>
          <w:rFonts w:eastAsia="仿宋_GB2312"/>
          <w:snapToGrid w:val="0"/>
          <w:color w:val="000000"/>
          <w:spacing w:val="-4"/>
          <w:kern w:val="0"/>
          <w:sz w:val="32"/>
          <w:szCs w:val="32"/>
        </w:rPr>
        <w:t>负责协调</w:t>
      </w:r>
      <w:r>
        <w:rPr>
          <w:rFonts w:hint="eastAsia" w:eastAsia="仿宋_GB2312" w:cs="仿宋_GB2312"/>
          <w:snapToGrid w:val="0"/>
          <w:color w:val="000000"/>
          <w:spacing w:val="-4"/>
          <w:kern w:val="0"/>
          <w:sz w:val="32"/>
          <w:szCs w:val="32"/>
        </w:rPr>
        <w:t>中国农业银行东营分行、中国建设银行东营分行、中国邮政储蓄银行东营市分行、东营银行、山东省农村信用社联合社东营审计中心</w:t>
      </w:r>
      <w:r>
        <w:rPr>
          <w:rFonts w:eastAsia="仿宋_GB2312"/>
          <w:snapToGrid w:val="0"/>
          <w:color w:val="000000"/>
          <w:spacing w:val="-4"/>
          <w:kern w:val="0"/>
          <w:sz w:val="32"/>
          <w:szCs w:val="32"/>
        </w:rPr>
        <w:t>等金融机构，</w:t>
      </w:r>
      <w:r>
        <w:rPr>
          <w:rFonts w:hint="eastAsia" w:eastAsia="仿宋_GB2312"/>
          <w:snapToGrid w:val="0"/>
          <w:color w:val="000000"/>
          <w:spacing w:val="-4"/>
          <w:kern w:val="0"/>
          <w:sz w:val="32"/>
          <w:szCs w:val="32"/>
        </w:rPr>
        <w:t>每年共</w:t>
      </w:r>
      <w:r>
        <w:rPr>
          <w:rFonts w:hint="eastAsia" w:hAnsi="仿宋_GB2312" w:eastAsia="仿宋_GB2312" w:cs="仿宋_GB2312"/>
          <w:snapToGrid w:val="0"/>
          <w:color w:val="000000"/>
          <w:spacing w:val="-4"/>
          <w:kern w:val="0"/>
          <w:sz w:val="32"/>
          <w:szCs w:val="32"/>
        </w:rPr>
        <w:t>提供不少于</w:t>
      </w:r>
      <w:r>
        <w:rPr>
          <w:rFonts w:hint="eastAsia" w:eastAsia="仿宋_GB2312" w:cs="仿宋_GB2312"/>
          <w:snapToGrid w:val="0"/>
          <w:color w:val="000000"/>
          <w:spacing w:val="-4"/>
          <w:kern w:val="0"/>
          <w:sz w:val="32"/>
          <w:szCs w:val="32"/>
        </w:rPr>
        <w:t>3500</w:t>
      </w:r>
      <w:r>
        <w:rPr>
          <w:rFonts w:hint="eastAsia" w:hAnsi="仿宋_GB2312" w:eastAsia="仿宋_GB2312" w:cs="仿宋_GB2312"/>
          <w:snapToGrid w:val="0"/>
          <w:color w:val="000000"/>
          <w:spacing w:val="-4"/>
          <w:kern w:val="0"/>
          <w:sz w:val="32"/>
          <w:szCs w:val="32"/>
        </w:rPr>
        <w:t>万元优惠利率（一年期</w:t>
      </w:r>
      <w:r>
        <w:rPr>
          <w:rFonts w:hint="eastAsia" w:eastAsia="仿宋_GB2312" w:cs="仿宋_GB2312"/>
          <w:snapToGrid w:val="0"/>
          <w:color w:val="000000"/>
          <w:spacing w:val="-4"/>
          <w:kern w:val="0"/>
          <w:sz w:val="32"/>
          <w:szCs w:val="32"/>
        </w:rPr>
        <w:t>LPR+50BP</w:t>
      </w:r>
      <w:r>
        <w:rPr>
          <w:rFonts w:hint="eastAsia" w:hAnsi="仿宋_GB2312" w:eastAsia="仿宋_GB2312" w:cs="仿宋_GB2312"/>
          <w:snapToGrid w:val="0"/>
          <w:color w:val="000000"/>
          <w:spacing w:val="-4"/>
          <w:kern w:val="0"/>
          <w:sz w:val="32"/>
          <w:szCs w:val="32"/>
        </w:rPr>
        <w:t>）</w:t>
      </w:r>
      <w:r>
        <w:rPr>
          <w:rFonts w:eastAsia="仿宋_GB2312"/>
          <w:snapToGrid w:val="0"/>
          <w:color w:val="000000"/>
          <w:spacing w:val="-4"/>
          <w:kern w:val="0"/>
          <w:sz w:val="32"/>
          <w:szCs w:val="32"/>
        </w:rPr>
        <w:t>信贷资金支持。</w:t>
      </w:r>
    </w:p>
    <w:p>
      <w:pPr>
        <w:adjustRightInd w:val="0"/>
        <w:snapToGrid w:val="0"/>
        <w:spacing w:line="560" w:lineRule="exact"/>
        <w:jc w:val="left"/>
        <w:rPr>
          <w:rFonts w:hint="eastAsia" w:eastAsia="黑体"/>
          <w:snapToGrid w:val="0"/>
          <w:color w:val="000000"/>
          <w:kern w:val="0"/>
          <w:sz w:val="32"/>
          <w:szCs w:val="32"/>
          <w:lang w:eastAsia="zh-CN"/>
        </w:rPr>
      </w:pPr>
      <w:r>
        <w:rPr>
          <w:rFonts w:hint="eastAsia" w:eastAsia="黑体"/>
          <w:snapToGrid w:val="0"/>
          <w:color w:val="000000"/>
          <w:kern w:val="0"/>
          <w:sz w:val="32"/>
          <w:szCs w:val="32"/>
          <w:lang w:val="en-US" w:eastAsia="zh-CN"/>
        </w:rPr>
        <w:t>四</w:t>
      </w:r>
      <w:r>
        <w:rPr>
          <w:rFonts w:hint="eastAsia" w:eastAsia="黑体"/>
          <w:snapToGrid w:val="0"/>
          <w:color w:val="000000"/>
          <w:kern w:val="0"/>
          <w:sz w:val="32"/>
          <w:szCs w:val="32"/>
          <w:lang w:eastAsia="zh-CN"/>
        </w:rPr>
        <w:t>、申报流程</w:t>
      </w:r>
    </w:p>
    <w:p>
      <w:pPr>
        <w:adjustRightInd w:val="0"/>
        <w:snapToGrid w:val="0"/>
        <w:spacing w:line="560" w:lineRule="exact"/>
        <w:ind w:firstLine="640" w:firstLineChars="200"/>
        <w:rPr>
          <w:rFonts w:hint="eastAsia" w:eastAsia="仿宋_GB2312" w:cs="仿宋_GB2312"/>
          <w:snapToGrid w:val="0"/>
          <w:color w:val="000000"/>
          <w:kern w:val="0"/>
          <w:sz w:val="32"/>
          <w:szCs w:val="32"/>
        </w:rPr>
      </w:pPr>
      <w:r>
        <w:rPr>
          <w:rFonts w:hint="eastAsia" w:eastAsia="楷体_GB2312" w:cs="仿宋_GB2312"/>
          <w:snapToGrid w:val="0"/>
          <w:color w:val="000000"/>
          <w:kern w:val="0"/>
          <w:sz w:val="32"/>
          <w:szCs w:val="32"/>
        </w:rPr>
        <w:t>1.放款额度分配。</w:t>
      </w:r>
      <w:r>
        <w:rPr>
          <w:rFonts w:hint="eastAsia" w:hAnsi="仿宋_GB2312" w:eastAsia="仿宋_GB2312" w:cs="仿宋_GB2312"/>
          <w:snapToGrid w:val="0"/>
          <w:color w:val="000000"/>
          <w:kern w:val="0"/>
          <w:sz w:val="32"/>
          <w:szCs w:val="32"/>
        </w:rPr>
        <w:t>共青团东营市委、人民银行东营市中心支行、东营银保监分局与中国农业银行东营分行、中国建设银行东营分行、中国邮政储蓄银行东营市分行和东营银行、山东省农村信用社联合社东营审计中心等金融机构，共同研究确定年度贷款发放额度计划。各金融机构根据各县区经济社会发展水平和青年人数等情况，确定各县区年度贷款发放额度计划。</w:t>
      </w:r>
    </w:p>
    <w:p>
      <w:pPr>
        <w:adjustRightInd w:val="0"/>
        <w:snapToGrid w:val="0"/>
        <w:spacing w:line="560" w:lineRule="exact"/>
        <w:ind w:firstLine="640" w:firstLineChars="200"/>
        <w:rPr>
          <w:rFonts w:hint="eastAsia" w:eastAsia="仿宋_GB2312" w:cs="仿宋_GB2312"/>
          <w:snapToGrid w:val="0"/>
          <w:color w:val="000000"/>
          <w:kern w:val="0"/>
          <w:sz w:val="32"/>
          <w:szCs w:val="32"/>
        </w:rPr>
      </w:pPr>
      <w:r>
        <w:rPr>
          <w:rFonts w:hint="eastAsia" w:eastAsia="楷体_GB2312" w:cs="仿宋_GB2312"/>
          <w:snapToGrid w:val="0"/>
          <w:color w:val="000000"/>
          <w:kern w:val="0"/>
          <w:sz w:val="32"/>
          <w:szCs w:val="32"/>
        </w:rPr>
        <w:t>2.申请和初审。</w:t>
      </w:r>
      <w:r>
        <w:rPr>
          <w:rFonts w:hint="eastAsia" w:hAnsi="仿宋_GB2312" w:eastAsia="仿宋_GB2312" w:cs="仿宋_GB2312"/>
          <w:snapToGrid w:val="0"/>
          <w:color w:val="000000"/>
          <w:kern w:val="0"/>
          <w:sz w:val="32"/>
          <w:szCs w:val="32"/>
        </w:rPr>
        <w:t>企业（个体工商户）按照</w:t>
      </w:r>
      <w:r>
        <w:rPr>
          <w:rFonts w:hint="eastAsia" w:eastAsia="仿宋_GB2312" w:cs="仿宋_GB2312"/>
          <w:snapToGrid w:val="0"/>
          <w:color w:val="000000"/>
          <w:kern w:val="0"/>
          <w:sz w:val="32"/>
          <w:szCs w:val="32"/>
        </w:rPr>
        <w:t>“</w:t>
      </w:r>
      <w:r>
        <w:rPr>
          <w:rFonts w:hint="eastAsia" w:hAnsi="仿宋_GB2312" w:eastAsia="仿宋_GB2312" w:cs="仿宋_GB2312"/>
          <w:snapToGrid w:val="0"/>
          <w:color w:val="000000"/>
          <w:kern w:val="0"/>
          <w:sz w:val="32"/>
          <w:szCs w:val="32"/>
        </w:rPr>
        <w:t>东青惠企贷</w:t>
      </w:r>
      <w:r>
        <w:rPr>
          <w:rFonts w:hint="eastAsia" w:eastAsia="仿宋_GB2312" w:cs="仿宋_GB2312"/>
          <w:snapToGrid w:val="0"/>
          <w:color w:val="000000"/>
          <w:kern w:val="0"/>
          <w:sz w:val="32"/>
          <w:szCs w:val="32"/>
        </w:rPr>
        <w:t>”</w:t>
      </w:r>
      <w:r>
        <w:rPr>
          <w:rFonts w:hint="eastAsia" w:hAnsi="仿宋_GB2312" w:eastAsia="仿宋_GB2312" w:cs="仿宋_GB2312"/>
          <w:snapToGrid w:val="0"/>
          <w:color w:val="000000"/>
          <w:kern w:val="0"/>
          <w:sz w:val="32"/>
          <w:szCs w:val="32"/>
        </w:rPr>
        <w:t>贷款条件和相关要求，填写项目申请表，向所在县区团委提出申请。县区团委对企业申请材料进行初审，向当地相关银行金融机构进行推荐。</w:t>
      </w:r>
    </w:p>
    <w:p>
      <w:pPr>
        <w:adjustRightInd w:val="0"/>
        <w:snapToGrid w:val="0"/>
        <w:spacing w:line="560" w:lineRule="exact"/>
        <w:ind w:firstLine="640" w:firstLineChars="200"/>
        <w:rPr>
          <w:rFonts w:hint="eastAsia" w:eastAsia="仿宋_GB2312" w:cs="仿宋_GB2312"/>
          <w:snapToGrid w:val="0"/>
          <w:color w:val="000000"/>
          <w:kern w:val="0"/>
          <w:sz w:val="32"/>
          <w:szCs w:val="32"/>
        </w:rPr>
      </w:pPr>
      <w:r>
        <w:rPr>
          <w:rFonts w:hint="eastAsia" w:eastAsia="楷体_GB2312" w:cs="仿宋_GB2312"/>
          <w:snapToGrid w:val="0"/>
          <w:color w:val="000000"/>
          <w:kern w:val="0"/>
          <w:sz w:val="32"/>
          <w:szCs w:val="32"/>
        </w:rPr>
        <w:t>3.考察和确定。</w:t>
      </w:r>
      <w:r>
        <w:rPr>
          <w:rFonts w:hint="eastAsia" w:hAnsi="仿宋_GB2312" w:eastAsia="仿宋_GB2312" w:cs="仿宋_GB2312"/>
          <w:snapToGrid w:val="0"/>
          <w:color w:val="000000"/>
          <w:kern w:val="0"/>
          <w:sz w:val="32"/>
          <w:szCs w:val="32"/>
        </w:rPr>
        <w:t>经县区团委推荐的企业（个体工商户）按照银行信贷政策要求，提供相关贷款申请材料。县区团委与当地相关银行业金融机构共同进行实地考察，召开工作评审会确定放贷企业（个体工商户）名单。</w:t>
      </w:r>
    </w:p>
    <w:p>
      <w:pPr>
        <w:adjustRightInd w:val="0"/>
        <w:snapToGrid w:val="0"/>
        <w:spacing w:line="560" w:lineRule="exact"/>
        <w:ind w:firstLine="640" w:firstLineChars="200"/>
        <w:rPr>
          <w:rFonts w:hint="eastAsia" w:eastAsia="仿宋_GB2312" w:cs="仿宋_GB2312"/>
          <w:snapToGrid w:val="0"/>
          <w:color w:val="000000"/>
          <w:kern w:val="0"/>
          <w:sz w:val="32"/>
          <w:szCs w:val="32"/>
        </w:rPr>
      </w:pPr>
      <w:r>
        <w:rPr>
          <w:rFonts w:hint="eastAsia" w:eastAsia="楷体_GB2312" w:cs="仿宋_GB2312"/>
          <w:snapToGrid w:val="0"/>
          <w:color w:val="000000"/>
          <w:kern w:val="0"/>
          <w:sz w:val="32"/>
          <w:szCs w:val="32"/>
        </w:rPr>
        <w:t>4.银行放款。</w:t>
      </w:r>
      <w:r>
        <w:rPr>
          <w:rFonts w:hint="eastAsia" w:hAnsi="仿宋_GB2312" w:eastAsia="仿宋_GB2312" w:cs="仿宋_GB2312"/>
          <w:snapToGrid w:val="0"/>
          <w:color w:val="000000"/>
          <w:kern w:val="0"/>
          <w:sz w:val="32"/>
          <w:szCs w:val="32"/>
        </w:rPr>
        <w:t>相关银行业金融机构按照规定，在法律要素齐全、风险可控的前提下，简化流程和手续，缩短审批时限，通过建立</w:t>
      </w:r>
      <w:r>
        <w:rPr>
          <w:rFonts w:hint="eastAsia" w:eastAsia="仿宋_GB2312" w:cs="仿宋_GB2312"/>
          <w:snapToGrid w:val="0"/>
          <w:color w:val="000000"/>
          <w:kern w:val="0"/>
          <w:sz w:val="32"/>
          <w:szCs w:val="32"/>
        </w:rPr>
        <w:t>“</w:t>
      </w:r>
      <w:r>
        <w:rPr>
          <w:rFonts w:hint="eastAsia" w:hAnsi="仿宋_GB2312" w:eastAsia="仿宋_GB2312" w:cs="仿宋_GB2312"/>
          <w:snapToGrid w:val="0"/>
          <w:color w:val="000000"/>
          <w:kern w:val="0"/>
          <w:sz w:val="32"/>
          <w:szCs w:val="32"/>
        </w:rPr>
        <w:t>东</w:t>
      </w:r>
      <w:r>
        <w:rPr>
          <w:rFonts w:hint="eastAsia" w:hAnsi="仿宋_GB2312" w:eastAsia="仿宋_GB2312" w:cs="仿宋_GB2312"/>
          <w:b w:val="0"/>
          <w:bCs w:val="0"/>
          <w:snapToGrid w:val="0"/>
          <w:color w:val="000000"/>
          <w:kern w:val="0"/>
          <w:sz w:val="32"/>
          <w:szCs w:val="32"/>
        </w:rPr>
        <w:t>青惠企贷</w:t>
      </w:r>
      <w:r>
        <w:rPr>
          <w:rFonts w:hint="eastAsia" w:hAnsi="仿宋_GB2312" w:eastAsia="仿宋_GB2312" w:cs="仿宋_GB2312"/>
          <w:snapToGrid w:val="0"/>
          <w:color w:val="000000"/>
          <w:kern w:val="0"/>
          <w:sz w:val="32"/>
          <w:szCs w:val="32"/>
        </w:rPr>
        <w:t>绿色通道</w:t>
      </w:r>
      <w:r>
        <w:rPr>
          <w:rFonts w:hint="eastAsia" w:eastAsia="仿宋_GB2312" w:cs="仿宋_GB2312"/>
          <w:snapToGrid w:val="0"/>
          <w:color w:val="000000"/>
          <w:kern w:val="0"/>
          <w:sz w:val="32"/>
          <w:szCs w:val="32"/>
        </w:rPr>
        <w:t>”</w:t>
      </w:r>
      <w:r>
        <w:rPr>
          <w:rFonts w:hint="eastAsia" w:hAnsi="仿宋_GB2312" w:eastAsia="仿宋_GB2312" w:cs="仿宋_GB2312"/>
          <w:snapToGrid w:val="0"/>
          <w:color w:val="000000"/>
          <w:kern w:val="0"/>
          <w:sz w:val="32"/>
          <w:szCs w:val="32"/>
        </w:rPr>
        <w:t>，实施优先调查、优先审批、优先放款。各县区团委和相关银行县区分支机构，须在</w:t>
      </w:r>
      <w:r>
        <w:rPr>
          <w:rFonts w:hint="eastAsia" w:eastAsia="仿宋_GB2312" w:cs="仿宋_GB2312"/>
          <w:snapToGrid w:val="0"/>
          <w:color w:val="000000"/>
          <w:kern w:val="0"/>
          <w:sz w:val="32"/>
          <w:szCs w:val="32"/>
        </w:rPr>
        <w:t>2022</w:t>
      </w:r>
      <w:r>
        <w:rPr>
          <w:rFonts w:hint="eastAsia" w:hAnsi="仿宋_GB2312" w:eastAsia="仿宋_GB2312" w:cs="仿宋_GB2312"/>
          <w:snapToGrid w:val="0"/>
          <w:color w:val="000000"/>
          <w:kern w:val="0"/>
          <w:sz w:val="32"/>
          <w:szCs w:val="32"/>
        </w:rPr>
        <w:t>年</w:t>
      </w:r>
      <w:r>
        <w:rPr>
          <w:rFonts w:hint="eastAsia" w:eastAsia="仿宋_GB2312" w:cs="仿宋_GB2312"/>
          <w:snapToGrid w:val="0"/>
          <w:color w:val="000000"/>
          <w:kern w:val="0"/>
          <w:sz w:val="32"/>
          <w:szCs w:val="32"/>
        </w:rPr>
        <w:t>11</w:t>
      </w:r>
      <w:r>
        <w:rPr>
          <w:rFonts w:hint="eastAsia" w:hAnsi="仿宋_GB2312" w:eastAsia="仿宋_GB2312" w:cs="仿宋_GB2312"/>
          <w:snapToGrid w:val="0"/>
          <w:color w:val="000000"/>
          <w:kern w:val="0"/>
          <w:sz w:val="32"/>
          <w:szCs w:val="32"/>
        </w:rPr>
        <w:t>月</w:t>
      </w:r>
      <w:r>
        <w:rPr>
          <w:rFonts w:hint="eastAsia" w:eastAsia="仿宋_GB2312" w:cs="仿宋_GB2312"/>
          <w:snapToGrid w:val="0"/>
          <w:color w:val="000000"/>
          <w:kern w:val="0"/>
          <w:sz w:val="32"/>
          <w:szCs w:val="32"/>
        </w:rPr>
        <w:t>30</w:t>
      </w:r>
      <w:r>
        <w:rPr>
          <w:rFonts w:hint="eastAsia" w:hAnsi="仿宋_GB2312" w:eastAsia="仿宋_GB2312" w:cs="仿宋_GB2312"/>
          <w:snapToGrid w:val="0"/>
          <w:color w:val="000000"/>
          <w:kern w:val="0"/>
          <w:sz w:val="32"/>
          <w:szCs w:val="32"/>
        </w:rPr>
        <w:t>日前完成本年贷款发放额度指标计划。</w:t>
      </w:r>
    </w:p>
    <w:p>
      <w:pPr>
        <w:adjustRightInd w:val="0"/>
        <w:snapToGrid w:val="0"/>
        <w:spacing w:line="560" w:lineRule="exact"/>
        <w:ind w:firstLine="640" w:firstLineChars="200"/>
        <w:rPr>
          <w:rFonts w:hint="eastAsia" w:eastAsia="仿宋_GB2312" w:cs="仿宋_GB2312"/>
          <w:snapToGrid w:val="0"/>
          <w:color w:val="000000"/>
          <w:kern w:val="0"/>
          <w:sz w:val="32"/>
          <w:szCs w:val="32"/>
        </w:rPr>
      </w:pPr>
      <w:r>
        <w:rPr>
          <w:rFonts w:hint="eastAsia" w:eastAsia="楷体_GB2312" w:cs="仿宋_GB2312"/>
          <w:snapToGrid w:val="0"/>
          <w:color w:val="000000"/>
          <w:kern w:val="0"/>
          <w:sz w:val="32"/>
          <w:szCs w:val="32"/>
        </w:rPr>
        <w:t>5.建立台账。</w:t>
      </w:r>
      <w:r>
        <w:rPr>
          <w:rFonts w:hint="eastAsia" w:hAnsi="仿宋_GB2312" w:eastAsia="仿宋_GB2312" w:cs="仿宋_GB2312"/>
          <w:snapToGrid w:val="0"/>
          <w:color w:val="000000"/>
          <w:kern w:val="0"/>
          <w:sz w:val="32"/>
          <w:szCs w:val="32"/>
        </w:rPr>
        <w:t>县区团委会同相关银行县区分支机构建立工作台账，填写《</w:t>
      </w:r>
      <w:r>
        <w:rPr>
          <w:rFonts w:hint="eastAsia" w:eastAsia="仿宋_GB2312" w:cs="仿宋_GB2312"/>
          <w:snapToGrid w:val="0"/>
          <w:color w:val="000000"/>
          <w:kern w:val="0"/>
          <w:sz w:val="32"/>
          <w:szCs w:val="32"/>
        </w:rPr>
        <w:t>“</w:t>
      </w:r>
      <w:r>
        <w:rPr>
          <w:rFonts w:hint="eastAsia" w:hAnsi="仿宋_GB2312" w:eastAsia="仿宋_GB2312" w:cs="仿宋_GB2312"/>
          <w:snapToGrid w:val="0"/>
          <w:color w:val="000000"/>
          <w:kern w:val="0"/>
          <w:sz w:val="32"/>
          <w:szCs w:val="32"/>
        </w:rPr>
        <w:t>东青惠企贷</w:t>
      </w:r>
      <w:r>
        <w:rPr>
          <w:rFonts w:hint="eastAsia" w:eastAsia="仿宋_GB2312" w:cs="仿宋_GB2312"/>
          <w:snapToGrid w:val="0"/>
          <w:color w:val="000000"/>
          <w:kern w:val="0"/>
          <w:sz w:val="32"/>
          <w:szCs w:val="32"/>
        </w:rPr>
        <w:t>”</w:t>
      </w:r>
      <w:r>
        <w:rPr>
          <w:rFonts w:hint="eastAsia" w:hAnsi="仿宋_GB2312" w:eastAsia="仿宋_GB2312" w:cs="仿宋_GB2312"/>
          <w:snapToGrid w:val="0"/>
          <w:color w:val="000000"/>
          <w:kern w:val="0"/>
          <w:sz w:val="32"/>
          <w:szCs w:val="32"/>
        </w:rPr>
        <w:t>信息台账汇总表》</w:t>
      </w:r>
      <w:r>
        <w:rPr>
          <w:rFonts w:hint="eastAsia" w:eastAsia="仿宋_GB2312" w:cs="仿宋_GB2312"/>
          <w:snapToGrid w:val="0"/>
          <w:color w:val="000000"/>
          <w:kern w:val="0"/>
          <w:sz w:val="32"/>
          <w:szCs w:val="32"/>
        </w:rPr>
        <w:t>(</w:t>
      </w:r>
      <w:r>
        <w:rPr>
          <w:rFonts w:hint="eastAsia" w:hAnsi="仿宋_GB2312" w:eastAsia="仿宋_GB2312" w:cs="仿宋_GB2312"/>
          <w:snapToGrid w:val="0"/>
          <w:color w:val="000000"/>
          <w:kern w:val="0"/>
          <w:sz w:val="32"/>
          <w:szCs w:val="32"/>
        </w:rPr>
        <w:t>附件</w:t>
      </w:r>
      <w:r>
        <w:rPr>
          <w:rFonts w:hint="eastAsia" w:eastAsia="仿宋_GB2312" w:cs="仿宋_GB2312"/>
          <w:snapToGrid w:val="0"/>
          <w:color w:val="000000"/>
          <w:kern w:val="0"/>
          <w:sz w:val="32"/>
          <w:szCs w:val="32"/>
        </w:rPr>
        <w:t>3)</w:t>
      </w:r>
      <w:r>
        <w:rPr>
          <w:rFonts w:hint="eastAsia" w:hAnsi="仿宋_GB2312" w:eastAsia="仿宋_GB2312" w:cs="仿宋_GB2312"/>
          <w:snapToGrid w:val="0"/>
          <w:color w:val="000000"/>
          <w:kern w:val="0"/>
          <w:sz w:val="32"/>
          <w:szCs w:val="32"/>
        </w:rPr>
        <w:t>，并于</w:t>
      </w:r>
      <w:r>
        <w:rPr>
          <w:rFonts w:hint="eastAsia" w:eastAsia="仿宋_GB2312" w:cs="仿宋_GB2312"/>
          <w:snapToGrid w:val="0"/>
          <w:color w:val="000000"/>
          <w:kern w:val="0"/>
          <w:sz w:val="32"/>
          <w:szCs w:val="32"/>
        </w:rPr>
        <w:t>11</w:t>
      </w:r>
      <w:r>
        <w:rPr>
          <w:rFonts w:hint="eastAsia" w:hAnsi="仿宋_GB2312" w:eastAsia="仿宋_GB2312" w:cs="仿宋_GB2312"/>
          <w:snapToGrid w:val="0"/>
          <w:color w:val="000000"/>
          <w:kern w:val="0"/>
          <w:sz w:val="32"/>
          <w:szCs w:val="32"/>
        </w:rPr>
        <w:t>月</w:t>
      </w:r>
      <w:r>
        <w:rPr>
          <w:rFonts w:hint="eastAsia" w:eastAsia="仿宋_GB2312" w:cs="仿宋_GB2312"/>
          <w:snapToGrid w:val="0"/>
          <w:color w:val="000000"/>
          <w:kern w:val="0"/>
          <w:sz w:val="32"/>
          <w:szCs w:val="32"/>
        </w:rPr>
        <w:t>30</w:t>
      </w:r>
      <w:r>
        <w:rPr>
          <w:rFonts w:hint="eastAsia" w:hAnsi="仿宋_GB2312" w:eastAsia="仿宋_GB2312" w:cs="仿宋_GB2312"/>
          <w:snapToGrid w:val="0"/>
          <w:color w:val="000000"/>
          <w:kern w:val="0"/>
          <w:sz w:val="32"/>
          <w:szCs w:val="32"/>
        </w:rPr>
        <w:t>日前，分别报送共青团东营市委和所属市分行（联社）。</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eastAsia="楷体_GB2312" w:cs="仿宋_GB2312"/>
          <w:snapToGrid w:val="0"/>
          <w:color w:val="000000"/>
          <w:kern w:val="0"/>
          <w:sz w:val="32"/>
          <w:szCs w:val="32"/>
        </w:rPr>
        <w:t>6.政策支持。</w:t>
      </w:r>
      <w:r>
        <w:rPr>
          <w:rFonts w:hint="eastAsia" w:hAnsi="仿宋_GB2312" w:eastAsia="仿宋_GB2312" w:cs="仿宋_GB2312"/>
          <w:snapToGrid w:val="0"/>
          <w:color w:val="000000"/>
          <w:kern w:val="0"/>
          <w:sz w:val="32"/>
          <w:szCs w:val="32"/>
        </w:rPr>
        <w:t>相关银行业金融机构可享受人民银行再贷款、再贴现等优惠政策。</w:t>
      </w:r>
    </w:p>
    <w:p>
      <w:pPr>
        <w:pStyle w:val="2"/>
        <w:rPr>
          <w:rFonts w:hint="eastAsia" w:hAnsi="仿宋_GB2312" w:eastAsia="仿宋_GB2312" w:cs="仿宋_GB2312"/>
          <w:snapToGrid w:val="0"/>
          <w:color w:val="000000"/>
          <w:kern w:val="0"/>
          <w:sz w:val="32"/>
          <w:szCs w:val="32"/>
        </w:rPr>
      </w:pPr>
    </w:p>
    <w:p>
      <w:pPr>
        <w:pStyle w:val="2"/>
        <w:rPr>
          <w:rFonts w:hint="eastAsia" w:ascii="CESI楷体-GB2312" w:hAnsi="CESI楷体-GB2312" w:eastAsia="CESI楷体-GB2312" w:cs="CESI楷体-GB2312"/>
          <w:snapToGrid w:val="0"/>
          <w:color w:val="000000"/>
          <w:kern w:val="0"/>
          <w:sz w:val="32"/>
          <w:szCs w:val="32"/>
          <w:lang w:val="en-US" w:eastAsia="zh-CN" w:bidi="ar-SA"/>
        </w:rPr>
      </w:pPr>
      <w:r>
        <w:rPr>
          <w:rFonts w:hint="eastAsia" w:ascii="CESI楷体-GB2312" w:hAnsi="CESI楷体-GB2312" w:eastAsia="CESI楷体-GB2312" w:cs="CESI楷体-GB2312"/>
          <w:snapToGrid w:val="0"/>
          <w:color w:val="000000"/>
          <w:kern w:val="0"/>
          <w:sz w:val="32"/>
          <w:szCs w:val="32"/>
          <w:lang w:val="en-US" w:eastAsia="zh-CN" w:bidi="ar-SA"/>
        </w:rPr>
        <w:t>主办单位：共青团东营市委  联系电话：8381567</w:t>
      </w:r>
    </w:p>
    <w:p>
      <w:pPr>
        <w:pStyle w:val="2"/>
      </w:pPr>
    </w:p>
    <w:p>
      <w:pPr>
        <w:adjustRightInd w:val="0"/>
        <w:snapToGrid w:val="0"/>
        <w:spacing w:line="560" w:lineRule="exact"/>
        <w:ind w:firstLine="640" w:firstLineChars="200"/>
        <w:rPr>
          <w:rFonts w:eastAsia="仿宋_GB2312"/>
          <w:snapToGrid w:val="0"/>
          <w:color w:val="000000"/>
          <w:kern w:val="0"/>
          <w:sz w:val="32"/>
          <w:szCs w:val="32"/>
          <w:shd w:val="pct10" w:color="auto" w:fill="FFFFFF"/>
        </w:rPr>
      </w:pPr>
    </w:p>
    <w:p>
      <w:pPr>
        <w:pStyle w:val="2"/>
        <w:rPr>
          <w:rFonts w:hint="eastAsia"/>
        </w:rPr>
      </w:pPr>
    </w:p>
    <w:p>
      <w:pPr>
        <w:pStyle w:val="2"/>
        <w:rPr>
          <w:rFonts w:hint="eastAsia" w:ascii="方正小标宋简体" w:hAnsi="方正小标宋简体" w:eastAsia="方正小标宋简体" w:cs="方正小标宋简体"/>
          <w:b w:val="0"/>
          <w:bCs w:val="0"/>
          <w:sz w:val="36"/>
          <w:szCs w:val="36"/>
          <w:lang w:eastAsia="zh-CN"/>
        </w:rPr>
      </w:pPr>
    </w:p>
    <w:p>
      <w:pPr>
        <w:pStyle w:val="2"/>
        <w:rPr>
          <w:rFonts w:hint="eastAsia" w:ascii="方正小标宋简体" w:hAnsi="方正小标宋简体" w:eastAsia="方正小标宋简体" w:cs="方正小标宋简体"/>
          <w:b w:val="0"/>
          <w:bCs w:val="0"/>
          <w:sz w:val="36"/>
          <w:szCs w:val="36"/>
          <w:lang w:eastAsia="zh-CN"/>
        </w:rPr>
      </w:pPr>
    </w:p>
    <w:p>
      <w:pPr>
        <w:keepNext w:val="0"/>
        <w:keepLines w:val="0"/>
        <w:pageBreakBefore w:val="0"/>
        <w:kinsoku/>
        <w:wordWrap/>
        <w:overflowPunct/>
        <w:topLinePunct w:val="0"/>
        <w:autoSpaceDE/>
        <w:autoSpaceDN/>
        <w:bidi w:val="0"/>
        <w:adjustRightInd/>
        <w:snapToGrid/>
        <w:spacing w:line="59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eastAsia="zh-CN"/>
        </w:rPr>
      </w:pPr>
    </w:p>
    <w:p>
      <w:pPr>
        <w:keepNext w:val="0"/>
        <w:keepLines w:val="0"/>
        <w:pageBreakBefore w:val="0"/>
        <w:kinsoku/>
        <w:wordWrap/>
        <w:overflowPunct/>
        <w:topLinePunct w:val="0"/>
        <w:autoSpaceDE/>
        <w:autoSpaceDN/>
        <w:bidi w:val="0"/>
        <w:adjustRightInd/>
        <w:snapToGrid/>
        <w:spacing w:line="59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eastAsia="zh-CN"/>
        </w:rPr>
      </w:pPr>
    </w:p>
    <w:p>
      <w:pPr>
        <w:keepNext w:val="0"/>
        <w:keepLines w:val="0"/>
        <w:pageBreakBefore w:val="0"/>
        <w:kinsoku/>
        <w:wordWrap/>
        <w:overflowPunct/>
        <w:topLinePunct w:val="0"/>
        <w:autoSpaceDE/>
        <w:autoSpaceDN/>
        <w:bidi w:val="0"/>
        <w:adjustRightInd/>
        <w:snapToGrid/>
        <w:spacing w:line="59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eastAsia="zh-CN"/>
        </w:rPr>
      </w:pPr>
    </w:p>
    <w:p>
      <w:pPr>
        <w:keepNext w:val="0"/>
        <w:keepLines w:val="0"/>
        <w:pageBreakBefore w:val="0"/>
        <w:kinsoku/>
        <w:wordWrap/>
        <w:overflowPunct/>
        <w:topLinePunct w:val="0"/>
        <w:autoSpaceDE/>
        <w:autoSpaceDN/>
        <w:bidi w:val="0"/>
        <w:adjustRightInd/>
        <w:snapToGrid/>
        <w:spacing w:line="590" w:lineRule="exact"/>
        <w:ind w:left="0" w:leftChars="0" w:right="0" w:rightChars="0" w:firstLine="0" w:firstLineChars="0"/>
        <w:jc w:val="both"/>
        <w:textAlignment w:val="auto"/>
        <w:outlineLvl w:val="1"/>
        <w:rPr>
          <w:rFonts w:hint="eastAsia" w:ascii="方正小标宋简体" w:hAnsi="方正小标宋简体" w:eastAsia="方正小标宋简体" w:cs="方正小标宋简体"/>
          <w:b w:val="0"/>
          <w:bCs w:val="0"/>
          <w:sz w:val="36"/>
          <w:szCs w:val="36"/>
          <w:highlight w:val="yellow"/>
          <w:lang w:eastAsia="zh-CN"/>
        </w:rPr>
      </w:pPr>
    </w:p>
    <w:p>
      <w:pPr>
        <w:keepNext w:val="0"/>
        <w:keepLines w:val="0"/>
        <w:pageBreakBefore w:val="0"/>
        <w:kinsoku/>
        <w:wordWrap/>
        <w:overflowPunct/>
        <w:topLinePunct w:val="0"/>
        <w:autoSpaceDE/>
        <w:autoSpaceDN/>
        <w:bidi w:val="0"/>
        <w:adjustRightInd/>
        <w:snapToGrid/>
        <w:spacing w:line="59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bCs w:val="0"/>
          <w:sz w:val="36"/>
          <w:szCs w:val="36"/>
          <w:highlight w:val="none"/>
          <w:lang w:eastAsia="zh-CN"/>
        </w:rPr>
      </w:pPr>
      <w:bookmarkStart w:id="5" w:name="_Toc10317"/>
      <w:r>
        <w:rPr>
          <w:rFonts w:hint="eastAsia" w:ascii="方正小标宋简体" w:hAnsi="方正小标宋简体" w:eastAsia="方正小标宋简体" w:cs="方正小标宋简体"/>
          <w:b w:val="0"/>
          <w:bCs w:val="0"/>
          <w:sz w:val="36"/>
          <w:szCs w:val="36"/>
          <w:highlight w:val="none"/>
          <w:lang w:eastAsia="zh-CN"/>
        </w:rPr>
        <w:t>乡村好青年贷</w:t>
      </w:r>
      <w:r>
        <w:rPr>
          <w:rFonts w:hint="eastAsia" w:ascii="方正小标宋简体" w:hAnsi="方正小标宋简体" w:eastAsia="方正小标宋简体" w:cs="方正小标宋简体"/>
          <w:b w:val="0"/>
          <w:bCs w:val="0"/>
          <w:sz w:val="36"/>
          <w:szCs w:val="36"/>
          <w:highlight w:val="none"/>
          <w:lang w:val="en-US" w:eastAsia="zh-CN"/>
        </w:rPr>
        <w:t>经营贷</w:t>
      </w:r>
      <w:bookmarkEnd w:id="5"/>
    </w:p>
    <w:p>
      <w:pPr>
        <w:pStyle w:val="2"/>
        <w:rPr>
          <w:rFonts w:hint="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20" w:firstLineChars="200"/>
        <w:textAlignment w:val="auto"/>
        <w:rPr>
          <w:rFonts w:hint="eastAsia" w:ascii="仿宋" w:hAnsi="仿宋" w:eastAsia="黑体" w:cstheme="minorBidi"/>
          <w:snapToGrid w:val="0"/>
          <w:color w:val="000000"/>
          <w:kern w:val="0"/>
          <w:sz w:val="32"/>
          <w:szCs w:val="32"/>
          <w:lang w:val="en-US" w:eastAsia="zh-CN" w:bidi="ar-SA"/>
        </w:rPr>
      </w:pPr>
      <w:r>
        <w:rPr>
          <w:rFonts w:hint="eastAsia" w:ascii="黑体" w:hAnsi="黑体" w:eastAsia="黑体" w:cs="黑体"/>
          <w:spacing w:val="-30"/>
          <w:sz w:val="32"/>
          <w:szCs w:val="32"/>
          <w:lang w:val="en-US" w:eastAsia="zh-CN"/>
        </w:rPr>
        <w:t>一、</w:t>
      </w:r>
      <w:r>
        <w:rPr>
          <w:rFonts w:hint="eastAsia" w:ascii="仿宋" w:hAnsi="仿宋" w:eastAsia="黑体" w:cstheme="minorBidi"/>
          <w:snapToGrid w:val="0"/>
          <w:color w:val="000000"/>
          <w:kern w:val="0"/>
          <w:sz w:val="32"/>
          <w:szCs w:val="32"/>
          <w:lang w:val="en-US" w:eastAsia="zh-CN" w:bidi="ar-SA"/>
        </w:rPr>
        <w:t>服务对象和范围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向山东省辖区内各级团组织评选的乡村好青年发放的，用于 其创办的小微企业、农民专业合作社、个体工商户生产经营类贷款。</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(一)经山东省各级团组织评选出的省级、市级、县级、乡 级乡村好青年。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(二)乡村好青年需为经营主体实际控制人或持股30%(含) 以上的股东。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(三)经营主体符合中银“乡村好青年贷”经营主体授信准 入筛选规则'。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(四)符合《中国银行股份有限公司个人经营贷款业务管理 办法》准入要求。</w:t>
      </w:r>
    </w:p>
    <w:p>
      <w:pPr>
        <w:keepNext w:val="0"/>
        <w:keepLines w:val="0"/>
        <w:pageBreakBefore w:val="0"/>
        <w:widowControl w:val="0"/>
        <w:kinsoku/>
        <w:wordWrap/>
        <w:overflowPunct/>
        <w:topLinePunct w:val="0"/>
        <w:autoSpaceDE/>
        <w:autoSpaceDN/>
        <w:bidi w:val="0"/>
        <w:adjustRightInd/>
        <w:snapToGrid/>
        <w:spacing w:line="560" w:lineRule="exact"/>
        <w:ind w:left="0" w:right="0"/>
        <w:textAlignment w:val="auto"/>
        <w:rPr>
          <w:rFonts w:hint="default" w:ascii="仿宋" w:hAnsi="仿宋" w:eastAsia="仿宋" w:cs="仿宋"/>
          <w:sz w:val="33"/>
          <w:szCs w:val="33"/>
          <w:lang w:val="en-US" w:eastAsia="zh-CN"/>
        </w:rPr>
      </w:pPr>
      <w:r>
        <w:rPr>
          <w:rFonts w:hint="eastAsia" w:ascii="黑体" w:hAnsi="黑体" w:eastAsia="黑体" w:cs="黑体"/>
          <w:sz w:val="33"/>
          <w:szCs w:val="33"/>
          <w:lang w:val="en-US" w:eastAsia="zh-CN"/>
        </w:rPr>
        <w:t>二、贷款期限、额度和利率</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授信额度通过乡村好青年评定等级、经营主体生产经营情况 及偿债能力、担保方式、申请额度等综合确定。</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(一)额度上限</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lang w:val="en-US" w:eastAsia="zh-CN"/>
        </w:rPr>
      </w:pPr>
      <w:r>
        <w:rPr>
          <w:rFonts w:hint="eastAsia" w:hAnsi="仿宋_GB2312" w:eastAsia="仿宋_GB2312" w:cs="仿宋_GB2312"/>
          <w:snapToGrid w:val="0"/>
          <w:color w:val="000000"/>
          <w:kern w:val="0"/>
          <w:sz w:val="32"/>
          <w:szCs w:val="32"/>
        </w:rPr>
        <w:t>根据担保方式设定中银“乡村好青年贷”授信额度</w:t>
      </w:r>
      <w:r>
        <w:rPr>
          <w:rFonts w:hint="eastAsia" w:hAnsi="仿宋_GB2312" w:eastAsia="仿宋_GB2312" w:cs="仿宋_GB2312"/>
          <w:snapToGrid w:val="0"/>
          <w:color w:val="000000"/>
          <w:kern w:val="0"/>
          <w:sz w:val="32"/>
          <w:szCs w:val="32"/>
          <w:lang w:val="en-US" w:eastAsia="zh-CN"/>
        </w:rPr>
        <w:t>上限。</w:t>
      </w:r>
    </w:p>
    <w:tbl>
      <w:tblPr>
        <w:tblStyle w:val="54"/>
        <w:tblpPr w:leftFromText="180" w:rightFromText="180" w:vertAnchor="text" w:horzAnchor="page" w:tblpX="1812" w:tblpY="35"/>
        <w:tblOverlap w:val="never"/>
        <w:tblW w:w="500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38"/>
        <w:gridCol w:w="1205"/>
        <w:gridCol w:w="1410"/>
        <w:gridCol w:w="1623"/>
        <w:gridCol w:w="1431"/>
        <w:gridCol w:w="17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86" w:hRule="exact"/>
        </w:trPr>
        <w:tc>
          <w:tcPr>
            <w:tcW w:w="563"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default"/>
                <w:sz w:val="24"/>
                <w:szCs w:val="24"/>
                <w:lang w:val="en-US" w:eastAsia="zh-CN"/>
              </w:rPr>
            </w:pPr>
            <w:r>
              <w:rPr>
                <w:rFonts w:hint="eastAsia" w:ascii="黑体" w:hAnsi="黑体" w:eastAsia="黑体" w:cs="黑体"/>
                <w:b w:val="0"/>
                <w:bCs w:val="0"/>
                <w:sz w:val="24"/>
                <w:szCs w:val="24"/>
                <w:lang w:val="en-US" w:eastAsia="zh-CN"/>
              </w:rPr>
              <w:t>等级</w:t>
            </w:r>
          </w:p>
        </w:tc>
        <w:tc>
          <w:tcPr>
            <w:tcW w:w="723"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信用</w:t>
            </w:r>
          </w:p>
        </w:tc>
        <w:tc>
          <w:tcPr>
            <w:tcW w:w="846"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父母或成年子女保证</w:t>
            </w:r>
          </w:p>
        </w:tc>
        <w:tc>
          <w:tcPr>
            <w:tcW w:w="97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政府性融资担保公司保证</w:t>
            </w:r>
          </w:p>
        </w:tc>
        <w:tc>
          <w:tcPr>
            <w:tcW w:w="85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创新类抵质押</w:t>
            </w:r>
          </w:p>
        </w:tc>
        <w:tc>
          <w:tcPr>
            <w:tcW w:w="103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优质不动产等抵质押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trPr>
        <w:tc>
          <w:tcPr>
            <w:tcW w:w="563"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省级</w:t>
            </w:r>
          </w:p>
        </w:tc>
        <w:tc>
          <w:tcPr>
            <w:tcW w:w="723"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2"/>
                <w:sz w:val="24"/>
                <w:szCs w:val="24"/>
              </w:rPr>
              <w:t>200万元</w:t>
            </w:r>
          </w:p>
        </w:tc>
        <w:tc>
          <w:tcPr>
            <w:tcW w:w="846"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2"/>
                <w:sz w:val="24"/>
                <w:szCs w:val="24"/>
              </w:rPr>
              <w:t>300万元</w:t>
            </w:r>
          </w:p>
        </w:tc>
        <w:tc>
          <w:tcPr>
            <w:tcW w:w="97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2"/>
                <w:sz w:val="24"/>
                <w:szCs w:val="24"/>
              </w:rPr>
              <w:t>300万元</w:t>
            </w:r>
          </w:p>
        </w:tc>
        <w:tc>
          <w:tcPr>
            <w:tcW w:w="85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2"/>
                <w:sz w:val="24"/>
                <w:szCs w:val="24"/>
              </w:rPr>
              <w:t>300万元</w:t>
            </w:r>
          </w:p>
        </w:tc>
        <w:tc>
          <w:tcPr>
            <w:tcW w:w="103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2"/>
                <w:sz w:val="24"/>
                <w:szCs w:val="24"/>
              </w:rPr>
              <w:t>1000</w:t>
            </w:r>
            <w:r>
              <w:rPr>
                <w:rFonts w:ascii="宋体" w:hAnsi="宋体" w:eastAsia="宋体" w:cs="宋体"/>
                <w:spacing w:val="1"/>
                <w:sz w:val="24"/>
                <w:szCs w:val="24"/>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trPr>
        <w:tc>
          <w:tcPr>
            <w:tcW w:w="563"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市级</w:t>
            </w:r>
          </w:p>
        </w:tc>
        <w:tc>
          <w:tcPr>
            <w:tcW w:w="723"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2"/>
                <w:sz w:val="24"/>
                <w:szCs w:val="24"/>
              </w:rPr>
              <w:t>100万元</w:t>
            </w:r>
          </w:p>
        </w:tc>
        <w:tc>
          <w:tcPr>
            <w:tcW w:w="846"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2"/>
                <w:sz w:val="24"/>
                <w:szCs w:val="24"/>
              </w:rPr>
              <w:t>150万元</w:t>
            </w:r>
          </w:p>
        </w:tc>
        <w:tc>
          <w:tcPr>
            <w:tcW w:w="97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2"/>
                <w:sz w:val="24"/>
                <w:szCs w:val="24"/>
              </w:rPr>
              <w:t>200万元</w:t>
            </w:r>
          </w:p>
        </w:tc>
        <w:tc>
          <w:tcPr>
            <w:tcW w:w="85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2"/>
                <w:sz w:val="24"/>
                <w:szCs w:val="24"/>
              </w:rPr>
              <w:t>150万元</w:t>
            </w:r>
          </w:p>
        </w:tc>
        <w:tc>
          <w:tcPr>
            <w:tcW w:w="103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2"/>
                <w:sz w:val="24"/>
                <w:szCs w:val="24"/>
              </w:rPr>
              <w:t>500万元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0" w:hRule="exact"/>
        </w:trPr>
        <w:tc>
          <w:tcPr>
            <w:tcW w:w="563"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县级</w:t>
            </w:r>
          </w:p>
        </w:tc>
        <w:tc>
          <w:tcPr>
            <w:tcW w:w="723"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4"/>
                <w:sz w:val="24"/>
                <w:szCs w:val="24"/>
              </w:rPr>
              <w:t>5</w:t>
            </w:r>
            <w:r>
              <w:rPr>
                <w:rFonts w:ascii="宋体" w:hAnsi="宋体" w:eastAsia="宋体" w:cs="宋体"/>
                <w:spacing w:val="2"/>
                <w:sz w:val="24"/>
                <w:szCs w:val="24"/>
              </w:rPr>
              <w:t>0万元</w:t>
            </w:r>
          </w:p>
        </w:tc>
        <w:tc>
          <w:tcPr>
            <w:tcW w:w="846"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2"/>
                <w:sz w:val="24"/>
                <w:szCs w:val="24"/>
              </w:rPr>
              <w:t>100万元</w:t>
            </w:r>
          </w:p>
        </w:tc>
        <w:tc>
          <w:tcPr>
            <w:tcW w:w="97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2"/>
                <w:sz w:val="24"/>
                <w:szCs w:val="24"/>
              </w:rPr>
              <w:t>150万元</w:t>
            </w:r>
          </w:p>
        </w:tc>
        <w:tc>
          <w:tcPr>
            <w:tcW w:w="85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2"/>
                <w:sz w:val="24"/>
                <w:szCs w:val="24"/>
              </w:rPr>
              <w:t>100万元</w:t>
            </w:r>
          </w:p>
        </w:tc>
        <w:tc>
          <w:tcPr>
            <w:tcW w:w="103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2"/>
                <w:sz w:val="24"/>
                <w:szCs w:val="24"/>
              </w:rPr>
              <w:t>300万元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trPr>
        <w:tc>
          <w:tcPr>
            <w:tcW w:w="563"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乡级</w:t>
            </w:r>
          </w:p>
        </w:tc>
        <w:tc>
          <w:tcPr>
            <w:tcW w:w="723"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2"/>
                <w:sz w:val="24"/>
                <w:szCs w:val="24"/>
              </w:rPr>
              <w:t>0万元</w:t>
            </w:r>
          </w:p>
        </w:tc>
        <w:tc>
          <w:tcPr>
            <w:tcW w:w="846"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4"/>
                <w:sz w:val="24"/>
                <w:szCs w:val="24"/>
              </w:rPr>
              <w:t>5</w:t>
            </w:r>
            <w:r>
              <w:rPr>
                <w:rFonts w:ascii="宋体" w:hAnsi="宋体" w:eastAsia="宋体" w:cs="宋体"/>
                <w:spacing w:val="2"/>
                <w:sz w:val="24"/>
                <w:szCs w:val="24"/>
              </w:rPr>
              <w:t>0万元</w:t>
            </w:r>
          </w:p>
        </w:tc>
        <w:tc>
          <w:tcPr>
            <w:tcW w:w="97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2"/>
                <w:sz w:val="24"/>
                <w:szCs w:val="24"/>
              </w:rPr>
              <w:t>100万元</w:t>
            </w:r>
          </w:p>
        </w:tc>
        <w:tc>
          <w:tcPr>
            <w:tcW w:w="85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4"/>
                <w:sz w:val="24"/>
                <w:szCs w:val="24"/>
              </w:rPr>
              <w:t>5</w:t>
            </w:r>
            <w:r>
              <w:rPr>
                <w:rFonts w:ascii="宋体" w:hAnsi="宋体" w:eastAsia="宋体" w:cs="宋体"/>
                <w:spacing w:val="2"/>
                <w:sz w:val="24"/>
                <w:szCs w:val="24"/>
              </w:rPr>
              <w:t>0万元</w:t>
            </w:r>
          </w:p>
        </w:tc>
        <w:tc>
          <w:tcPr>
            <w:tcW w:w="103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宋体" w:hAnsi="宋体" w:eastAsia="宋体" w:cs="宋体"/>
                <w:sz w:val="24"/>
                <w:szCs w:val="24"/>
              </w:rPr>
            </w:pPr>
            <w:r>
              <w:rPr>
                <w:rFonts w:ascii="宋体" w:hAnsi="宋体" w:eastAsia="宋体" w:cs="宋体"/>
                <w:spacing w:val="2"/>
                <w:sz w:val="24"/>
                <w:szCs w:val="24"/>
              </w:rPr>
              <w:t>150万元</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hAnsi="仿宋_GB2312" w:eastAsia="仿宋_GB2312" w:cs="仿宋_GB2312"/>
          <w:snapToGrid w:val="0"/>
          <w:color w:val="000000"/>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(二)单户额度测算标准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在额度上限范围内，根据单户额度测算标准确定贷款额度。</w:t>
      </w:r>
    </w:p>
    <w:tbl>
      <w:tblPr>
        <w:tblStyle w:val="54"/>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857"/>
        <w:gridCol w:w="54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0" w:hRule="exact"/>
        </w:trPr>
        <w:tc>
          <w:tcPr>
            <w:tcW w:w="171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级等</w:t>
            </w:r>
          </w:p>
        </w:tc>
        <w:tc>
          <w:tcPr>
            <w:tcW w:w="3281"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经营情况额度测算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trPr>
        <w:tc>
          <w:tcPr>
            <w:tcW w:w="171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省级</w:t>
            </w:r>
          </w:p>
        </w:tc>
        <w:tc>
          <w:tcPr>
            <w:tcW w:w="3281"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经营主体上年度销售收入×35%-负债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trPr>
        <w:tc>
          <w:tcPr>
            <w:tcW w:w="171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市级</w:t>
            </w:r>
          </w:p>
        </w:tc>
        <w:tc>
          <w:tcPr>
            <w:tcW w:w="3281"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经营主体上年度销售收入×30%-负债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trPr>
        <w:tc>
          <w:tcPr>
            <w:tcW w:w="171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县级</w:t>
            </w:r>
          </w:p>
        </w:tc>
        <w:tc>
          <w:tcPr>
            <w:tcW w:w="3281"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经营主体上年度销售收入×25%-负债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trPr>
        <w:tc>
          <w:tcPr>
            <w:tcW w:w="171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24"/>
                <w:szCs w:val="24"/>
                <w:lang w:val="en-US" w:eastAsia="zh-CN" w:bidi="ar-SA"/>
              </w:rPr>
            </w:pPr>
            <w:r>
              <w:rPr>
                <w:rFonts w:hint="eastAsia" w:ascii="黑体" w:hAnsi="黑体" w:eastAsia="黑体" w:cs="黑体"/>
                <w:b w:val="0"/>
                <w:bCs w:val="0"/>
                <w:sz w:val="24"/>
                <w:szCs w:val="24"/>
                <w:lang w:val="en-US" w:eastAsia="zh-CN"/>
              </w:rPr>
              <w:t>乡级</w:t>
            </w:r>
          </w:p>
        </w:tc>
        <w:tc>
          <w:tcPr>
            <w:tcW w:w="3281"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pacing w:val="2"/>
                <w:sz w:val="24"/>
                <w:szCs w:val="24"/>
              </w:rPr>
              <w:t>经营</w:t>
            </w:r>
            <w:r>
              <w:rPr>
                <w:rFonts w:hint="eastAsia" w:ascii="宋体" w:hAnsi="宋体" w:eastAsia="宋体" w:cs="宋体"/>
                <w:spacing w:val="1"/>
                <w:sz w:val="24"/>
                <w:szCs w:val="24"/>
              </w:rPr>
              <w:t>主体上年度销售收入×20%-负债</w:t>
            </w:r>
          </w:p>
        </w:tc>
      </w:tr>
    </w:tbl>
    <w:p>
      <w:pPr>
        <w:spacing w:line="88" w:lineRule="exact"/>
      </w:pP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lang w:val="en-US" w:eastAsia="zh-CN"/>
        </w:rPr>
        <w:t>（三）贷款期限</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流动资金贷款贷款期限不超过3年。</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lang w:eastAsia="zh-CN"/>
        </w:rPr>
        <w:t>（</w:t>
      </w:r>
      <w:r>
        <w:rPr>
          <w:rFonts w:hint="eastAsia" w:hAnsi="仿宋_GB2312" w:eastAsia="仿宋_GB2312" w:cs="仿宋_GB2312"/>
          <w:snapToGrid w:val="0"/>
          <w:color w:val="000000"/>
          <w:kern w:val="0"/>
          <w:sz w:val="32"/>
          <w:szCs w:val="32"/>
          <w:lang w:val="en-US" w:eastAsia="zh-CN"/>
        </w:rPr>
        <w:t>四</w:t>
      </w:r>
      <w:r>
        <w:rPr>
          <w:rFonts w:hint="eastAsia" w:hAnsi="仿宋_GB2312" w:eastAsia="仿宋_GB2312" w:cs="仿宋_GB2312"/>
          <w:snapToGrid w:val="0"/>
          <w:color w:val="000000"/>
          <w:kern w:val="0"/>
          <w:sz w:val="32"/>
          <w:szCs w:val="32"/>
          <w:lang w:eastAsia="zh-CN"/>
        </w:rPr>
        <w:t>）</w:t>
      </w:r>
      <w:r>
        <w:rPr>
          <w:rFonts w:hint="eastAsia" w:hAnsi="仿宋_GB2312" w:eastAsia="仿宋_GB2312" w:cs="仿宋_GB2312"/>
          <w:snapToGrid w:val="0"/>
          <w:color w:val="000000"/>
          <w:kern w:val="0"/>
          <w:sz w:val="32"/>
          <w:szCs w:val="32"/>
        </w:rPr>
        <w:t>贷款利率</w:t>
      </w:r>
    </w:p>
    <w:p>
      <w:pPr>
        <w:adjustRightInd w:val="0"/>
        <w:snapToGrid w:val="0"/>
        <w:spacing w:line="560" w:lineRule="exact"/>
        <w:ind w:firstLine="640" w:firstLineChars="200"/>
        <w:rPr>
          <w:rFonts w:ascii="仿宋" w:hAnsi="仿宋" w:eastAsia="仿宋" w:cs="仿宋"/>
          <w:sz w:val="33"/>
          <w:szCs w:val="33"/>
        </w:rPr>
      </w:pPr>
      <w:r>
        <w:rPr>
          <w:rFonts w:hint="eastAsia" w:hAnsi="仿宋_GB2312" w:eastAsia="仿宋_GB2312" w:cs="仿宋_GB2312"/>
          <w:snapToGrid w:val="0"/>
          <w:color w:val="000000"/>
          <w:kern w:val="0"/>
          <w:sz w:val="32"/>
          <w:szCs w:val="32"/>
        </w:rPr>
        <w:t>按照一年期3.7%标准执行(与LPR同步调整)。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20" w:firstLineChars="200"/>
        <w:textAlignment w:val="auto"/>
        <w:rPr>
          <w:rFonts w:hint="eastAsia" w:ascii="仿宋" w:hAnsi="仿宋" w:eastAsia="黑体" w:cstheme="minorBidi"/>
          <w:snapToGrid w:val="0"/>
          <w:color w:val="000000"/>
          <w:kern w:val="0"/>
          <w:sz w:val="32"/>
          <w:szCs w:val="32"/>
          <w:lang w:val="en-US" w:eastAsia="zh-CN" w:bidi="ar-SA"/>
        </w:rPr>
      </w:pPr>
      <w:r>
        <w:rPr>
          <w:rFonts w:hint="eastAsia" w:ascii="黑体" w:hAnsi="黑体" w:eastAsia="黑体" w:cs="黑体"/>
          <w:spacing w:val="-30"/>
          <w:sz w:val="32"/>
          <w:szCs w:val="32"/>
          <w:lang w:val="en-US" w:eastAsia="zh-CN"/>
        </w:rPr>
        <w:t>三、</w:t>
      </w:r>
      <w:r>
        <w:rPr>
          <w:rFonts w:hint="eastAsia" w:ascii="仿宋" w:hAnsi="仿宋" w:eastAsia="黑体" w:cstheme="minorBidi"/>
          <w:snapToGrid w:val="0"/>
          <w:color w:val="000000"/>
          <w:kern w:val="0"/>
          <w:sz w:val="32"/>
          <w:szCs w:val="32"/>
          <w:lang w:val="en-US" w:eastAsia="zh-CN" w:bidi="ar-SA"/>
        </w:rPr>
        <w:t>申报流程</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(一)各县(市、区)团委在充分尊重乡村好青年意愿基础上，将有贷款需求的好青年推荐给各分支机构。中国银行各分支机构要及时跟进，全力为乡村好青年办理好相关业务。</w:t>
      </w:r>
    </w:p>
    <w:p>
      <w:pPr>
        <w:pStyle w:val="2"/>
        <w:keepNext w:val="0"/>
        <w:keepLines w:val="0"/>
        <w:pageBreakBefore w:val="0"/>
        <w:widowControl w:val="0"/>
        <w:kinsoku/>
        <w:wordWrap/>
        <w:overflowPunct/>
        <w:topLinePunct w:val="0"/>
        <w:autoSpaceDE/>
        <w:autoSpaceDN/>
        <w:bidi w:val="0"/>
        <w:spacing w:line="560" w:lineRule="exact"/>
        <w:ind w:left="0" w:leftChars="0" w:firstLine="640" w:firstLineChars="200"/>
        <w:jc w:val="left"/>
        <w:textAlignment w:val="auto"/>
        <w:rPr>
          <w:rFonts w:hint="eastAsia" w:ascii="方正小标宋简体" w:hAnsi="方正小标宋简体" w:eastAsia="方正小标宋简体" w:cs="方正小标宋简体"/>
          <w:b w:val="0"/>
          <w:bCs w:val="0"/>
          <w:kern w:val="2"/>
          <w:sz w:val="36"/>
          <w:szCs w:val="36"/>
          <w:highlight w:val="yellow"/>
          <w:lang w:val="en-US" w:eastAsia="zh-CN" w:bidi="ar-SA"/>
        </w:rPr>
      </w:pPr>
      <w:r>
        <w:rPr>
          <w:rFonts w:hint="eastAsia" w:hAnsi="仿宋_GB2312" w:eastAsia="仿宋_GB2312" w:cs="仿宋_GB2312"/>
          <w:snapToGrid w:val="0"/>
          <w:color w:val="000000"/>
          <w:kern w:val="0"/>
          <w:sz w:val="32"/>
          <w:szCs w:val="32"/>
        </w:rPr>
        <w:t>(二)各级机构加强与全国性、地区性主流媒体合作，积极 运用线上、线下渠道，宣传我行中银“乡村好青年贷”特色服务方案;积极发挥我行助农点作用，动员村“两委”、农经站，做好业务推介与引导，提升社会影响，打造市场口碑。</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小标宋简体" w:hAnsi="方正小标宋简体" w:eastAsia="方正小标宋简体" w:cs="方正小标宋简体"/>
          <w:b w:val="0"/>
          <w:bCs w:val="0"/>
          <w:sz w:val="36"/>
          <w:szCs w:val="36"/>
          <w:lang w:eastAsia="zh-CN"/>
        </w:rPr>
      </w:pPr>
      <w:r>
        <w:rPr>
          <w:rFonts w:hint="eastAsia" w:hAnsi="仿宋_GB2312" w:eastAsia="仿宋_GB2312" w:cs="仿宋_GB2312"/>
          <w:snapToGrid w:val="0"/>
          <w:color w:val="000000"/>
          <w:kern w:val="0"/>
          <w:sz w:val="32"/>
          <w:szCs w:val="32"/>
        </w:rPr>
        <w:t>(三)在R 系统发起时，选择产品子类PLCAO1项下的产品细类“乡村好青年贷”。</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left"/>
        <w:textAlignment w:val="auto"/>
        <w:outlineLvl w:val="1"/>
        <w:rPr>
          <w:rFonts w:hint="eastAsia" w:ascii="方正小标宋简体" w:hAnsi="方正小标宋简体" w:eastAsia="方正小标宋简体" w:cs="方正小标宋简体"/>
          <w:b w:val="0"/>
          <w:bCs w:val="0"/>
          <w:sz w:val="36"/>
          <w:szCs w:val="36"/>
          <w:lang w:eastAsia="zh-CN"/>
        </w:rPr>
      </w:pPr>
    </w:p>
    <w:p>
      <w:pPr>
        <w:pStyle w:val="2"/>
        <w:rPr>
          <w:rFonts w:hint="eastAsia"/>
          <w:lang w:eastAsia="zh-C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CESI楷体-GB2312" w:hAnsi="CESI楷体-GB2312" w:eastAsia="CESI楷体-GB2312" w:cs="CESI楷体-GB2312"/>
          <w:snapToGrid w:val="0"/>
          <w:color w:val="000000"/>
          <w:kern w:val="0"/>
          <w:sz w:val="32"/>
          <w:szCs w:val="32"/>
          <w:lang w:val="en-US" w:eastAsia="zh-CN" w:bidi="ar-SA"/>
        </w:rPr>
        <w:t>主办单位：共青团东营市委  联系电话：8381567</w:t>
      </w:r>
    </w:p>
    <w:p>
      <w:pPr>
        <w:spacing w:before="107" w:line="222" w:lineRule="auto"/>
        <w:ind w:left="1883"/>
        <w:rPr>
          <w:rFonts w:hint="eastAsia" w:ascii="方正小标宋简体" w:hAnsi="方正小标宋简体" w:eastAsia="方正小标宋简体" w:cs="方正小标宋简体"/>
          <w:b w:val="0"/>
          <w:bCs w:val="0"/>
          <w:sz w:val="36"/>
          <w:szCs w:val="36"/>
          <w:highlight w:val="none"/>
          <w:lang w:eastAsia="zh-CN"/>
        </w:rPr>
      </w:pPr>
    </w:p>
    <w:p>
      <w:pPr>
        <w:spacing w:before="107" w:line="222" w:lineRule="auto"/>
        <w:ind w:left="1883"/>
        <w:outlineLvl w:val="1"/>
        <w:rPr>
          <w:rFonts w:ascii="黑体" w:hAnsi="黑体" w:eastAsia="黑体" w:cs="黑体"/>
          <w:spacing w:val="11"/>
          <w:sz w:val="33"/>
          <w:szCs w:val="33"/>
          <w14:textOutline w14:w="5994" w14:cap="flat" w14:cmpd="sng">
            <w14:solidFill>
              <w14:srgbClr w14:val="000000"/>
            </w14:solidFill>
            <w14:prstDash w14:val="solid"/>
            <w14:miter w14:val="0"/>
          </w14:textOutline>
        </w:rPr>
      </w:pPr>
      <w:bookmarkStart w:id="6" w:name="_Toc32221"/>
      <w:r>
        <w:rPr>
          <w:rFonts w:hint="eastAsia" w:ascii="方正小标宋简体" w:hAnsi="方正小标宋简体" w:eastAsia="方正小标宋简体" w:cs="方正小标宋简体"/>
          <w:b w:val="0"/>
          <w:bCs w:val="0"/>
          <w:sz w:val="36"/>
          <w:szCs w:val="36"/>
          <w:highlight w:val="none"/>
          <w:lang w:eastAsia="zh-CN"/>
        </w:rPr>
        <w:t>乡村好青年消费贷</w:t>
      </w:r>
      <w:bookmarkEnd w:id="6"/>
    </w:p>
    <w:p>
      <w:pPr>
        <w:keepNext w:val="0"/>
        <w:keepLines w:val="0"/>
        <w:pageBreakBefore w:val="0"/>
        <w:widowControl w:val="0"/>
        <w:kinsoku/>
        <w:wordWrap/>
        <w:overflowPunct/>
        <w:topLinePunct w:val="0"/>
        <w:autoSpaceDE/>
        <w:autoSpaceDN/>
        <w:bidi w:val="0"/>
        <w:adjustRightInd/>
        <w:snapToGrid/>
        <w:spacing w:line="560" w:lineRule="exact"/>
        <w:ind w:left="0" w:right="0"/>
        <w:textAlignment w:val="auto"/>
        <w:rPr>
          <w:rFonts w:hint="eastAsia" w:ascii="黑体" w:hAnsi="黑体" w:eastAsia="黑体" w:cs="黑体"/>
          <w:sz w:val="33"/>
          <w:szCs w:val="33"/>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right="0"/>
        <w:textAlignment w:val="auto"/>
        <w:rPr>
          <w:rFonts w:hint="default" w:ascii="黑体" w:hAnsi="黑体" w:eastAsia="黑体" w:cs="黑体"/>
          <w:sz w:val="33"/>
          <w:szCs w:val="33"/>
          <w:lang w:val="en-US" w:eastAsia="zh-CN"/>
        </w:rPr>
      </w:pPr>
      <w:r>
        <w:rPr>
          <w:rFonts w:hint="eastAsia" w:ascii="黑体" w:hAnsi="黑体" w:eastAsia="黑体" w:cs="黑体"/>
          <w:sz w:val="33"/>
          <w:szCs w:val="33"/>
          <w:lang w:val="en-US" w:eastAsia="zh-CN"/>
        </w:rPr>
        <w:t>一、服务对象和范围</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eastAsia" w:hAnsi="仿宋_GB2312" w:eastAsia="仿宋_GB2312" w:cs="仿宋_GB2312"/>
          <w:b w:val="0"/>
          <w:bCs w:val="0"/>
          <w:snapToGrid w:val="0"/>
          <w:color w:val="000000"/>
          <w:kern w:val="0"/>
          <w:sz w:val="32"/>
          <w:szCs w:val="32"/>
        </w:rPr>
      </w:pPr>
      <w:r>
        <w:rPr>
          <w:rFonts w:hint="eastAsia" w:hAnsi="仿宋_GB2312" w:eastAsia="仿宋_GB2312" w:cs="仿宋_GB2312"/>
          <w:b w:val="0"/>
          <w:bCs w:val="0"/>
          <w:snapToGrid w:val="0"/>
          <w:color w:val="000000"/>
          <w:kern w:val="0"/>
          <w:sz w:val="32"/>
          <w:szCs w:val="32"/>
        </w:rPr>
        <w:t>向山东省辖区内各级团委组织评选的乡村好青年发放的，用 于借款人家庭合理消费用途的个人消费贷款。</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eastAsia" w:hAnsi="仿宋_GB2312" w:eastAsia="仿宋_GB2312" w:cs="仿宋_GB2312"/>
          <w:b w:val="0"/>
          <w:bCs w:val="0"/>
          <w:snapToGrid w:val="0"/>
          <w:color w:val="000000"/>
          <w:kern w:val="0"/>
          <w:sz w:val="32"/>
          <w:szCs w:val="32"/>
        </w:rPr>
      </w:pPr>
      <w:r>
        <w:rPr>
          <w:rFonts w:hint="eastAsia" w:hAnsi="仿宋_GB2312" w:eastAsia="仿宋_GB2312" w:cs="仿宋_GB2312"/>
          <w:b w:val="0"/>
          <w:bCs w:val="0"/>
          <w:snapToGrid w:val="0"/>
          <w:color w:val="000000"/>
          <w:kern w:val="0"/>
          <w:sz w:val="32"/>
          <w:szCs w:val="32"/>
        </w:rPr>
        <w:t>(一)具有完全民事行为能力的中华人民共和国公民;</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eastAsia" w:hAnsi="仿宋_GB2312" w:eastAsia="仿宋_GB2312" w:cs="仿宋_GB2312"/>
          <w:b w:val="0"/>
          <w:bCs w:val="0"/>
          <w:snapToGrid w:val="0"/>
          <w:color w:val="000000"/>
          <w:kern w:val="0"/>
          <w:sz w:val="32"/>
          <w:szCs w:val="32"/>
        </w:rPr>
      </w:pPr>
      <w:r>
        <w:rPr>
          <w:rFonts w:hint="eastAsia" w:hAnsi="仿宋_GB2312" w:eastAsia="仿宋_GB2312" w:cs="仿宋_GB2312"/>
          <w:b w:val="0"/>
          <w:bCs w:val="0"/>
          <w:snapToGrid w:val="0"/>
          <w:color w:val="000000"/>
          <w:kern w:val="0"/>
          <w:sz w:val="32"/>
          <w:szCs w:val="32"/>
        </w:rPr>
        <w:t>(二)年龄不低于 18 周岁且不高于44 周岁;</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eastAsia" w:hAnsi="仿宋_GB2312" w:eastAsia="仿宋_GB2312" w:cs="仿宋_GB2312"/>
          <w:b w:val="0"/>
          <w:bCs w:val="0"/>
          <w:snapToGrid w:val="0"/>
          <w:color w:val="000000"/>
          <w:kern w:val="0"/>
          <w:sz w:val="32"/>
          <w:szCs w:val="32"/>
        </w:rPr>
      </w:pPr>
      <w:r>
        <w:rPr>
          <w:rFonts w:hint="eastAsia" w:hAnsi="仿宋_GB2312" w:eastAsia="仿宋_GB2312" w:cs="仿宋_GB2312"/>
          <w:b w:val="0"/>
          <w:bCs w:val="0"/>
          <w:snapToGrid w:val="0"/>
          <w:color w:val="000000"/>
          <w:kern w:val="0"/>
          <w:sz w:val="32"/>
          <w:szCs w:val="32"/>
        </w:rPr>
        <w:t>(三)自2018 年以来，经山东省各级团组织评选出的乡村 好青年;</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eastAsia" w:hAnsi="仿宋_GB2312" w:eastAsia="仿宋_GB2312" w:cs="仿宋_GB2312"/>
          <w:b w:val="0"/>
          <w:bCs w:val="0"/>
          <w:snapToGrid w:val="0"/>
          <w:color w:val="000000"/>
          <w:kern w:val="0"/>
          <w:sz w:val="32"/>
          <w:szCs w:val="32"/>
        </w:rPr>
      </w:pPr>
      <w:r>
        <w:rPr>
          <w:rFonts w:hint="eastAsia" w:hAnsi="仿宋_GB2312" w:eastAsia="仿宋_GB2312" w:cs="仿宋_GB2312"/>
          <w:b w:val="0"/>
          <w:bCs w:val="0"/>
          <w:snapToGrid w:val="0"/>
          <w:color w:val="000000"/>
          <w:kern w:val="0"/>
          <w:sz w:val="32"/>
          <w:szCs w:val="32"/>
        </w:rPr>
        <w:t>(四)具有持续稳定的收入来源，具备偿还贷款本息的能力 和还款意愿;</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eastAsia" w:hAnsi="仿宋_GB2312" w:eastAsia="仿宋_GB2312" w:cs="仿宋_GB2312"/>
          <w:b w:val="0"/>
          <w:bCs w:val="0"/>
          <w:snapToGrid w:val="0"/>
          <w:color w:val="000000"/>
          <w:kern w:val="0"/>
          <w:sz w:val="32"/>
          <w:szCs w:val="32"/>
        </w:rPr>
      </w:pPr>
      <w:r>
        <w:rPr>
          <w:rFonts w:hint="eastAsia" w:hAnsi="仿宋_GB2312" w:eastAsia="仿宋_GB2312" w:cs="仿宋_GB2312"/>
          <w:b w:val="0"/>
          <w:bCs w:val="0"/>
          <w:snapToGrid w:val="0"/>
          <w:color w:val="000000"/>
          <w:kern w:val="0"/>
          <w:sz w:val="32"/>
          <w:szCs w:val="32"/>
        </w:rPr>
        <w:t>(五)信用状况良好，在我行及同业无恶意、重大不良记录;</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eastAsia" w:hAnsi="仿宋_GB2312" w:eastAsia="仿宋_GB2312" w:cs="仿宋_GB2312"/>
          <w:b w:val="0"/>
          <w:bCs w:val="0"/>
          <w:snapToGrid w:val="0"/>
          <w:color w:val="000000"/>
          <w:kern w:val="0"/>
          <w:sz w:val="32"/>
          <w:szCs w:val="32"/>
        </w:rPr>
      </w:pPr>
      <w:r>
        <w:rPr>
          <w:rFonts w:hint="eastAsia" w:hAnsi="仿宋_GB2312" w:eastAsia="仿宋_GB2312" w:cs="仿宋_GB2312"/>
          <w:b w:val="0"/>
          <w:bCs w:val="0"/>
          <w:snapToGrid w:val="0"/>
          <w:color w:val="000000"/>
          <w:kern w:val="0"/>
          <w:sz w:val="32"/>
          <w:szCs w:val="32"/>
        </w:rPr>
        <w:t>(六)法律法规、监管机构以及贷款机构规定的其他条件。</w:t>
      </w:r>
    </w:p>
    <w:p>
      <w:pPr>
        <w:keepNext w:val="0"/>
        <w:keepLines w:val="0"/>
        <w:pageBreakBefore w:val="0"/>
        <w:widowControl w:val="0"/>
        <w:kinsoku/>
        <w:wordWrap/>
        <w:overflowPunct/>
        <w:topLinePunct w:val="0"/>
        <w:autoSpaceDE/>
        <w:autoSpaceDN/>
        <w:bidi w:val="0"/>
        <w:adjustRightInd/>
        <w:snapToGrid/>
        <w:spacing w:line="560" w:lineRule="exact"/>
        <w:ind w:left="0" w:right="0"/>
        <w:textAlignment w:val="auto"/>
        <w:rPr>
          <w:rFonts w:hint="default" w:ascii="黑体" w:hAnsi="黑体" w:eastAsia="黑体" w:cs="黑体"/>
          <w:sz w:val="33"/>
          <w:szCs w:val="33"/>
          <w:lang w:val="en-US" w:eastAsia="zh-CN"/>
        </w:rPr>
      </w:pPr>
      <w:r>
        <w:rPr>
          <w:rFonts w:hint="eastAsia" w:ascii="黑体" w:hAnsi="黑体" w:eastAsia="黑体" w:cs="黑体"/>
          <w:sz w:val="33"/>
          <w:szCs w:val="33"/>
          <w:lang w:val="en-US" w:eastAsia="zh-CN"/>
        </w:rPr>
        <w:t>二、贷款用途、额度、期限和利率</w:t>
      </w:r>
    </w:p>
    <w:p>
      <w:pPr>
        <w:keepNext w:val="0"/>
        <w:keepLines w:val="0"/>
        <w:pageBreakBefore w:val="0"/>
        <w:widowControl w:val="0"/>
        <w:kinsoku/>
        <w:wordWrap/>
        <w:overflowPunct/>
        <w:topLinePunct w:val="0"/>
        <w:autoSpaceDE/>
        <w:autoSpaceDN/>
        <w:bidi w:val="0"/>
        <w:spacing w:line="560" w:lineRule="exact"/>
        <w:ind w:left="0" w:right="0" w:firstLine="629"/>
        <w:textAlignment w:val="auto"/>
        <w:rPr>
          <w:rFonts w:hint="eastAsia" w:ascii="仿宋" w:hAnsi="仿宋_GB2312" w:eastAsia="仿宋_GB2312" w:cs="仿宋_GB2312"/>
          <w:snapToGrid w:val="0"/>
          <w:color w:val="000000"/>
          <w:kern w:val="0"/>
          <w:sz w:val="32"/>
          <w:szCs w:val="32"/>
          <w:lang w:val="en-US" w:eastAsia="zh-CN" w:bidi="ar-SA"/>
        </w:rPr>
      </w:pPr>
      <w:r>
        <w:rPr>
          <w:rFonts w:hint="eastAsia" w:ascii="仿宋" w:hAnsi="仿宋_GB2312" w:eastAsia="仿宋_GB2312" w:cs="仿宋_GB2312"/>
          <w:snapToGrid w:val="0"/>
          <w:color w:val="000000"/>
          <w:kern w:val="0"/>
          <w:sz w:val="32"/>
          <w:szCs w:val="32"/>
          <w:lang w:val="en-US" w:eastAsia="zh-CN" w:bidi="ar-SA"/>
        </w:rPr>
        <w:t>（一）贷款用途</w:t>
      </w:r>
    </w:p>
    <w:p>
      <w:pPr>
        <w:keepNext w:val="0"/>
        <w:keepLines w:val="0"/>
        <w:pageBreakBefore w:val="0"/>
        <w:widowControl w:val="0"/>
        <w:kinsoku/>
        <w:wordWrap/>
        <w:overflowPunct/>
        <w:topLinePunct w:val="0"/>
        <w:autoSpaceDE/>
        <w:autoSpaceDN/>
        <w:bidi w:val="0"/>
        <w:adjustRightInd/>
        <w:snapToGrid/>
        <w:spacing w:line="560" w:lineRule="exact"/>
        <w:ind w:left="0" w:right="0" w:firstLine="629"/>
        <w:textAlignment w:val="auto"/>
        <w:rPr>
          <w:rFonts w:hint="eastAsia" w:ascii="仿宋" w:hAnsi="仿宋_GB2312" w:eastAsia="仿宋_GB2312" w:cs="仿宋_GB2312"/>
          <w:snapToGrid w:val="0"/>
          <w:color w:val="000000"/>
          <w:kern w:val="0"/>
          <w:sz w:val="32"/>
          <w:szCs w:val="32"/>
          <w:lang w:val="en-US" w:eastAsia="zh-CN" w:bidi="ar-SA"/>
        </w:rPr>
      </w:pPr>
      <w:r>
        <w:rPr>
          <w:rFonts w:hint="eastAsia" w:ascii="仿宋" w:hAnsi="仿宋_GB2312" w:eastAsia="仿宋_GB2312" w:cs="仿宋_GB2312"/>
          <w:snapToGrid w:val="0"/>
          <w:color w:val="000000"/>
          <w:kern w:val="0"/>
          <w:sz w:val="32"/>
          <w:szCs w:val="32"/>
          <w:lang w:val="en-US" w:eastAsia="zh-CN" w:bidi="ar-SA"/>
        </w:rPr>
        <w:t>可用于日常消费、家居装修、教育助学、度假旅游、购买大额耐用消费品等合理合法的个人消费支出，不可用于购房、生产经营、股票、证券投资、无指定用途的个人支出，以及任何法律法规、监管规定、国家政策所禁止的用途。</w:t>
      </w:r>
    </w:p>
    <w:p>
      <w:pPr>
        <w:keepNext w:val="0"/>
        <w:keepLines w:val="0"/>
        <w:pageBreakBefore w:val="0"/>
        <w:widowControl w:val="0"/>
        <w:kinsoku/>
        <w:wordWrap/>
        <w:overflowPunct/>
        <w:topLinePunct w:val="0"/>
        <w:autoSpaceDE/>
        <w:autoSpaceDN/>
        <w:bidi w:val="0"/>
        <w:adjustRightInd/>
        <w:snapToGrid/>
        <w:spacing w:line="560" w:lineRule="exact"/>
        <w:ind w:left="0" w:right="0" w:firstLine="629"/>
        <w:textAlignment w:val="auto"/>
        <w:rPr>
          <w:rFonts w:hint="eastAsia" w:ascii="仿宋" w:hAnsi="仿宋_GB2312" w:eastAsia="仿宋_GB2312" w:cs="仿宋_GB2312"/>
          <w:snapToGrid w:val="0"/>
          <w:color w:val="000000"/>
          <w:kern w:val="0"/>
          <w:sz w:val="32"/>
          <w:szCs w:val="32"/>
          <w:lang w:val="en-US" w:eastAsia="zh-CN" w:bidi="ar-SA"/>
        </w:rPr>
      </w:pPr>
      <w:r>
        <w:rPr>
          <w:rFonts w:hint="eastAsia" w:ascii="仿宋" w:hAnsi="仿宋_GB2312" w:eastAsia="仿宋_GB2312" w:cs="仿宋_GB2312"/>
          <w:snapToGrid w:val="0"/>
          <w:color w:val="000000"/>
          <w:kern w:val="0"/>
          <w:sz w:val="32"/>
          <w:szCs w:val="32"/>
          <w:lang w:val="en-US" w:eastAsia="zh-CN" w:bidi="ar-SA"/>
        </w:rPr>
        <w:t>（二）贷款额度</w:t>
      </w:r>
    </w:p>
    <w:p>
      <w:pPr>
        <w:keepNext w:val="0"/>
        <w:keepLines w:val="0"/>
        <w:pageBreakBefore w:val="0"/>
        <w:widowControl w:val="0"/>
        <w:kinsoku/>
        <w:wordWrap/>
        <w:overflowPunct/>
        <w:topLinePunct w:val="0"/>
        <w:autoSpaceDE/>
        <w:autoSpaceDN/>
        <w:bidi w:val="0"/>
        <w:adjustRightInd/>
        <w:snapToGrid/>
        <w:spacing w:line="560" w:lineRule="exact"/>
        <w:ind w:left="0" w:right="0" w:firstLine="629"/>
        <w:textAlignment w:val="auto"/>
        <w:rPr>
          <w:rFonts w:hint="eastAsia" w:ascii="仿宋" w:hAnsi="仿宋_GB2312" w:eastAsia="仿宋_GB2312" w:cs="仿宋_GB2312"/>
          <w:snapToGrid w:val="0"/>
          <w:color w:val="000000"/>
          <w:kern w:val="0"/>
          <w:sz w:val="32"/>
          <w:szCs w:val="32"/>
          <w:lang w:val="en-US" w:eastAsia="zh-CN" w:bidi="ar-SA"/>
        </w:rPr>
      </w:pPr>
      <w:r>
        <w:rPr>
          <w:rFonts w:hint="eastAsia" w:ascii="仿宋" w:hAnsi="仿宋_GB2312" w:eastAsia="仿宋_GB2312" w:cs="仿宋_GB2312"/>
          <w:snapToGrid w:val="0"/>
          <w:color w:val="000000"/>
          <w:kern w:val="0"/>
          <w:sz w:val="32"/>
          <w:szCs w:val="32"/>
          <w:lang w:val="en-US" w:eastAsia="zh-CN" w:bidi="ar-SA"/>
        </w:rPr>
        <w:t>1、纳入个人客户统一授信管理，综合考虑乡村好青年评定等级，借款人及其家庭个人授信总量、收入水平和还款能力，</w:t>
      </w:r>
    </w:p>
    <w:p>
      <w:pPr>
        <w:keepNext w:val="0"/>
        <w:keepLines w:val="0"/>
        <w:pageBreakBefore w:val="0"/>
        <w:widowControl w:val="0"/>
        <w:kinsoku/>
        <w:wordWrap/>
        <w:overflowPunct/>
        <w:topLinePunct w:val="0"/>
        <w:autoSpaceDE/>
        <w:autoSpaceDN/>
        <w:bidi w:val="0"/>
        <w:adjustRightInd/>
        <w:snapToGrid/>
        <w:spacing w:line="560" w:lineRule="exact"/>
        <w:ind w:left="0" w:right="0" w:firstLine="629"/>
        <w:textAlignment w:val="auto"/>
        <w:rPr>
          <w:rFonts w:hint="eastAsia" w:ascii="仿宋" w:hAnsi="仿宋_GB2312" w:eastAsia="仿宋_GB2312" w:cs="仿宋_GB2312"/>
          <w:snapToGrid w:val="0"/>
          <w:color w:val="000000"/>
          <w:kern w:val="0"/>
          <w:sz w:val="32"/>
          <w:szCs w:val="32"/>
          <w:lang w:val="en-US" w:eastAsia="zh-CN" w:bidi="ar-SA"/>
        </w:rPr>
      </w:pPr>
      <w:r>
        <w:rPr>
          <w:rFonts w:hint="eastAsia" w:ascii="仿宋" w:hAnsi="仿宋_GB2312" w:eastAsia="仿宋_GB2312" w:cs="仿宋_GB2312"/>
          <w:snapToGrid w:val="0"/>
          <w:color w:val="000000"/>
          <w:kern w:val="0"/>
          <w:sz w:val="32"/>
          <w:szCs w:val="32"/>
          <w:lang w:val="en-US" w:eastAsia="zh-CN" w:bidi="ar-SA"/>
        </w:rPr>
        <w:t>借款人申请额度等合理核定贷款额度。</w:t>
      </w:r>
    </w:p>
    <w:p>
      <w:pPr>
        <w:keepNext w:val="0"/>
        <w:keepLines w:val="0"/>
        <w:pageBreakBefore w:val="0"/>
        <w:widowControl w:val="0"/>
        <w:kinsoku/>
        <w:wordWrap/>
        <w:overflowPunct/>
        <w:topLinePunct w:val="0"/>
        <w:autoSpaceDE/>
        <w:autoSpaceDN/>
        <w:bidi w:val="0"/>
        <w:adjustRightInd/>
        <w:snapToGrid/>
        <w:spacing w:line="560" w:lineRule="exact"/>
        <w:ind w:left="0" w:right="0" w:firstLine="629"/>
        <w:textAlignment w:val="auto"/>
        <w:rPr>
          <w:rFonts w:hint="eastAsia" w:ascii="仿宋" w:hAnsi="仿宋_GB2312" w:eastAsia="仿宋_GB2312" w:cs="仿宋_GB2312"/>
          <w:snapToGrid w:val="0"/>
          <w:color w:val="000000"/>
          <w:kern w:val="0"/>
          <w:sz w:val="32"/>
          <w:szCs w:val="32"/>
          <w:lang w:val="en-US" w:eastAsia="zh-CN" w:bidi="ar-SA"/>
        </w:rPr>
      </w:pPr>
      <w:r>
        <w:rPr>
          <w:rFonts w:hint="eastAsia" w:ascii="仿宋" w:hAnsi="仿宋_GB2312" w:eastAsia="仿宋_GB2312" w:cs="仿宋_GB2312"/>
          <w:snapToGrid w:val="0"/>
          <w:color w:val="000000"/>
          <w:kern w:val="0"/>
          <w:sz w:val="32"/>
          <w:szCs w:val="32"/>
          <w:lang w:val="en-US" w:eastAsia="zh-CN" w:bidi="ar-SA"/>
        </w:rPr>
        <w:t>2、额度上限</w:t>
      </w:r>
    </w:p>
    <w:tbl>
      <w:tblPr>
        <w:tblStyle w:val="54"/>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36"/>
        <w:gridCol w:w="1777"/>
        <w:gridCol w:w="1632"/>
        <w:gridCol w:w="1632"/>
        <w:gridCol w:w="16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jc w:val="center"/>
        </w:trPr>
        <w:tc>
          <w:tcPr>
            <w:tcW w:w="98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等级</w:t>
            </w:r>
          </w:p>
        </w:tc>
        <w:tc>
          <w:tcPr>
            <w:tcW w:w="106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省级</w:t>
            </w:r>
          </w:p>
        </w:tc>
        <w:tc>
          <w:tcPr>
            <w:tcW w:w="981"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市级</w:t>
            </w:r>
          </w:p>
        </w:tc>
        <w:tc>
          <w:tcPr>
            <w:tcW w:w="981"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县级</w:t>
            </w:r>
          </w:p>
        </w:tc>
        <w:tc>
          <w:tcPr>
            <w:tcW w:w="98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乡级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98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00" w:lineRule="auto"/>
              <w:ind w:left="0" w:firstLine="0" w:firstLineChars="0"/>
              <w:jc w:val="center"/>
              <w:textAlignment w:val="auto"/>
              <w:rPr>
                <w:rFonts w:ascii="宋体" w:hAnsi="宋体" w:eastAsia="宋体" w:cs="宋体"/>
                <w:sz w:val="24"/>
                <w:szCs w:val="24"/>
              </w:rPr>
            </w:pPr>
            <w:r>
              <w:rPr>
                <w:rFonts w:hint="eastAsia" w:ascii="黑体" w:hAnsi="黑体" w:eastAsia="黑体" w:cs="黑体"/>
                <w:b w:val="0"/>
                <w:bCs w:val="0"/>
                <w:sz w:val="24"/>
                <w:szCs w:val="24"/>
                <w:lang w:val="en-US" w:eastAsia="zh-CN"/>
              </w:rPr>
              <w:t>额度金额</w:t>
            </w:r>
          </w:p>
        </w:tc>
        <w:tc>
          <w:tcPr>
            <w:tcW w:w="106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194" w:lineRule="auto"/>
              <w:ind w:left="0" w:firstLine="0" w:firstLineChars="0"/>
              <w:jc w:val="center"/>
              <w:textAlignment w:val="auto"/>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3"/>
                <w:sz w:val="24"/>
                <w:szCs w:val="24"/>
              </w:rPr>
              <w:t>0万元</w:t>
            </w:r>
          </w:p>
        </w:tc>
        <w:tc>
          <w:tcPr>
            <w:tcW w:w="981"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194" w:lineRule="auto"/>
              <w:ind w:left="0" w:firstLine="0" w:firstLineChars="0"/>
              <w:jc w:val="center"/>
              <w:textAlignment w:val="auto"/>
              <w:rPr>
                <w:rFonts w:ascii="宋体" w:hAnsi="宋体" w:eastAsia="宋体" w:cs="宋体"/>
                <w:sz w:val="24"/>
                <w:szCs w:val="24"/>
              </w:rPr>
            </w:pPr>
            <w:r>
              <w:rPr>
                <w:rFonts w:ascii="宋体" w:hAnsi="宋体" w:eastAsia="宋体" w:cs="宋体"/>
                <w:spacing w:val="4"/>
                <w:sz w:val="24"/>
                <w:szCs w:val="24"/>
              </w:rPr>
              <w:t>1</w:t>
            </w:r>
            <w:r>
              <w:rPr>
                <w:rFonts w:ascii="宋体" w:hAnsi="宋体" w:eastAsia="宋体" w:cs="宋体"/>
                <w:spacing w:val="3"/>
                <w:sz w:val="24"/>
                <w:szCs w:val="24"/>
              </w:rPr>
              <w:t>5万元</w:t>
            </w:r>
          </w:p>
        </w:tc>
        <w:tc>
          <w:tcPr>
            <w:tcW w:w="981"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194" w:lineRule="auto"/>
              <w:ind w:left="0" w:firstLine="0" w:firstLineChars="0"/>
              <w:jc w:val="center"/>
              <w:textAlignment w:val="auto"/>
              <w:rPr>
                <w:rFonts w:ascii="宋体" w:hAnsi="宋体" w:eastAsia="宋体" w:cs="宋体"/>
                <w:sz w:val="24"/>
                <w:szCs w:val="24"/>
              </w:rPr>
            </w:pPr>
            <w:r>
              <w:rPr>
                <w:rFonts w:ascii="宋体" w:hAnsi="宋体" w:eastAsia="宋体" w:cs="宋体"/>
                <w:spacing w:val="4"/>
                <w:sz w:val="24"/>
                <w:szCs w:val="24"/>
              </w:rPr>
              <w:t>1</w:t>
            </w:r>
            <w:r>
              <w:rPr>
                <w:rFonts w:ascii="宋体" w:hAnsi="宋体" w:eastAsia="宋体" w:cs="宋体"/>
                <w:spacing w:val="3"/>
                <w:sz w:val="24"/>
                <w:szCs w:val="24"/>
              </w:rPr>
              <w:t>0万元</w:t>
            </w:r>
          </w:p>
        </w:tc>
        <w:tc>
          <w:tcPr>
            <w:tcW w:w="98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06" w:lineRule="auto"/>
              <w:ind w:left="0" w:firstLine="0" w:firstLineChars="0"/>
              <w:jc w:val="center"/>
              <w:textAlignment w:val="auto"/>
              <w:rPr>
                <w:rFonts w:ascii="宋体" w:hAnsi="宋体" w:eastAsia="宋体" w:cs="宋体"/>
                <w:sz w:val="24"/>
                <w:szCs w:val="24"/>
              </w:rPr>
            </w:pPr>
            <w:r>
              <w:rPr>
                <w:rFonts w:ascii="宋体" w:hAnsi="宋体" w:eastAsia="宋体" w:cs="宋体"/>
                <w:spacing w:val="4"/>
                <w:sz w:val="24"/>
                <w:szCs w:val="24"/>
              </w:rPr>
              <w:t>5</w:t>
            </w:r>
            <w:r>
              <w:rPr>
                <w:rFonts w:ascii="宋体" w:hAnsi="宋体" w:eastAsia="宋体" w:cs="宋体"/>
                <w:spacing w:val="2"/>
                <w:sz w:val="24"/>
                <w:szCs w:val="24"/>
              </w:rPr>
              <w:t>万元</w:t>
            </w: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29"/>
        <w:textAlignment w:val="auto"/>
        <w:rPr>
          <w:rFonts w:hint="eastAsia" w:ascii="仿宋" w:hAnsi="仿宋_GB2312" w:eastAsia="仿宋_GB2312" w:cs="仿宋_GB2312"/>
          <w:snapToGrid w:val="0"/>
          <w:color w:val="000000"/>
          <w:kern w:val="0"/>
          <w:sz w:val="32"/>
          <w:szCs w:val="32"/>
          <w:lang w:val="en-US" w:eastAsia="zh-CN" w:bidi="ar-SA"/>
        </w:rPr>
      </w:pPr>
      <w:r>
        <w:rPr>
          <w:rFonts w:hint="eastAsia" w:ascii="仿宋" w:hAnsi="仿宋_GB2312" w:eastAsia="仿宋_GB2312" w:cs="仿宋_GB2312"/>
          <w:snapToGrid w:val="0"/>
          <w:color w:val="000000"/>
          <w:kern w:val="0"/>
          <w:sz w:val="32"/>
          <w:szCs w:val="32"/>
          <w:lang w:val="en-US" w:eastAsia="zh-CN" w:bidi="ar-SA"/>
        </w:rPr>
        <w:t>（三）贷款期限</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10"/>
        <w:textAlignment w:val="auto"/>
        <w:rPr>
          <w:rFonts w:hint="eastAsia" w:ascii="仿宋" w:hAnsi="仿宋_GB2312" w:eastAsia="仿宋_GB2312" w:cs="仿宋_GB2312"/>
          <w:snapToGrid w:val="0"/>
          <w:color w:val="000000"/>
          <w:kern w:val="0"/>
          <w:sz w:val="32"/>
          <w:szCs w:val="32"/>
          <w:lang w:val="en-US" w:eastAsia="zh-CN" w:bidi="ar-SA"/>
        </w:rPr>
      </w:pPr>
      <w:r>
        <w:rPr>
          <w:rFonts w:hint="eastAsia" w:ascii="仿宋" w:hAnsi="仿宋_GB2312" w:eastAsia="仿宋_GB2312" w:cs="仿宋_GB2312"/>
          <w:snapToGrid w:val="0"/>
          <w:color w:val="000000"/>
          <w:kern w:val="0"/>
          <w:sz w:val="32"/>
          <w:szCs w:val="32"/>
          <w:lang w:val="en-US" w:eastAsia="zh-CN" w:bidi="ar-SA"/>
        </w:rPr>
        <w:t>额度期限最长3年，单笔贷款期限最长1年。额度线下审批，单笔用款线上随借随还。</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10"/>
        <w:textAlignment w:val="auto"/>
        <w:rPr>
          <w:rFonts w:hint="eastAsia" w:ascii="仿宋" w:hAnsi="仿宋_GB2312" w:eastAsia="仿宋_GB2312" w:cs="仿宋_GB2312"/>
          <w:snapToGrid w:val="0"/>
          <w:color w:val="000000"/>
          <w:kern w:val="0"/>
          <w:sz w:val="32"/>
          <w:szCs w:val="32"/>
          <w:lang w:val="en-US" w:eastAsia="zh-CN" w:bidi="ar-SA"/>
        </w:rPr>
      </w:pPr>
      <w:r>
        <w:rPr>
          <w:rFonts w:hint="eastAsia" w:ascii="仿宋" w:hAnsi="仿宋_GB2312" w:eastAsia="仿宋_GB2312" w:cs="仿宋_GB2312"/>
          <w:snapToGrid w:val="0"/>
          <w:color w:val="000000"/>
          <w:kern w:val="0"/>
          <w:sz w:val="32"/>
          <w:szCs w:val="32"/>
          <w:lang w:val="en-US" w:eastAsia="zh-CN" w:bidi="ar-SA"/>
        </w:rPr>
        <w:t>采取信用保证方式，对于风险相对较高的借款人，可要求追加我行接受的其他担保措施。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10"/>
        <w:textAlignment w:val="auto"/>
        <w:rPr>
          <w:rFonts w:hint="eastAsia" w:ascii="仿宋" w:hAnsi="仿宋_GB2312" w:eastAsia="仿宋_GB2312" w:cs="仿宋_GB2312"/>
          <w:snapToGrid w:val="0"/>
          <w:color w:val="000000"/>
          <w:kern w:val="0"/>
          <w:sz w:val="32"/>
          <w:szCs w:val="32"/>
          <w:lang w:val="en-US" w:eastAsia="zh-CN" w:bidi="ar-SA"/>
        </w:rPr>
      </w:pPr>
      <w:r>
        <w:rPr>
          <w:rFonts w:hint="eastAsia" w:ascii="仿宋" w:hAnsi="仿宋_GB2312" w:eastAsia="仿宋_GB2312" w:cs="仿宋_GB2312"/>
          <w:snapToGrid w:val="0"/>
          <w:color w:val="000000"/>
          <w:kern w:val="0"/>
          <w:sz w:val="32"/>
          <w:szCs w:val="32"/>
          <w:lang w:val="en-US" w:eastAsia="zh-CN" w:bidi="ar-SA"/>
        </w:rPr>
        <w:t>单笔借款期限不超过 1 年，可采用按期等额本金、按期等额本息、按月还息到期还本、到期一次还本付息的还款方式。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10"/>
        <w:textAlignment w:val="auto"/>
        <w:rPr>
          <w:rFonts w:hint="eastAsia" w:ascii="仿宋" w:hAnsi="仿宋_GB2312" w:eastAsia="仿宋_GB2312" w:cs="仿宋_GB2312"/>
          <w:snapToGrid w:val="0"/>
          <w:color w:val="000000"/>
          <w:kern w:val="0"/>
          <w:sz w:val="32"/>
          <w:szCs w:val="32"/>
          <w:lang w:val="en-US" w:eastAsia="zh-CN" w:bidi="ar-SA"/>
        </w:rPr>
      </w:pPr>
      <w:r>
        <w:rPr>
          <w:rFonts w:hint="eastAsia" w:ascii="仿宋" w:hAnsi="仿宋_GB2312" w:eastAsia="仿宋_GB2312" w:cs="仿宋_GB2312"/>
          <w:snapToGrid w:val="0"/>
          <w:color w:val="000000"/>
          <w:kern w:val="0"/>
          <w:sz w:val="32"/>
          <w:szCs w:val="32"/>
          <w:lang w:val="en-US" w:eastAsia="zh-CN" w:bidi="ar-SA"/>
        </w:rPr>
        <w:t>（四）贷款利率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 w:hAnsi="仿宋_GB2312" w:eastAsia="仿宋_GB2312" w:cs="仿宋_GB2312"/>
          <w:snapToGrid w:val="0"/>
          <w:color w:val="000000"/>
          <w:kern w:val="0"/>
          <w:sz w:val="32"/>
          <w:szCs w:val="32"/>
          <w:lang w:val="en-US" w:eastAsia="zh-CN" w:bidi="ar-SA"/>
        </w:rPr>
      </w:pPr>
      <w:r>
        <w:rPr>
          <w:rFonts w:hint="eastAsia" w:ascii="仿宋" w:hAnsi="仿宋_GB2312" w:eastAsia="仿宋_GB2312" w:cs="仿宋_GB2312"/>
          <w:snapToGrid w:val="0"/>
          <w:color w:val="000000"/>
          <w:kern w:val="0"/>
          <w:sz w:val="32"/>
          <w:szCs w:val="32"/>
          <w:lang w:val="en-US" w:eastAsia="zh-CN" w:bidi="ar-SA"/>
        </w:rPr>
        <w:t>年利率最低可至LPR+20BP(按照目前的LPR利率定价，执行年利率3.9%,如遇人民银行统一调整LPR 利率定价，我行也 随之相应调整)。</w:t>
      </w:r>
    </w:p>
    <w:p>
      <w:pPr>
        <w:keepNext w:val="0"/>
        <w:keepLines w:val="0"/>
        <w:pageBreakBefore w:val="0"/>
        <w:widowControl w:val="0"/>
        <w:kinsoku/>
        <w:wordWrap/>
        <w:overflowPunct/>
        <w:topLinePunct w:val="0"/>
        <w:autoSpaceDE/>
        <w:autoSpaceDN/>
        <w:bidi w:val="0"/>
        <w:adjustRightInd/>
        <w:snapToGrid/>
        <w:spacing w:line="560" w:lineRule="exact"/>
        <w:ind w:left="0" w:right="0"/>
        <w:textAlignment w:val="auto"/>
        <w:rPr>
          <w:rFonts w:hint="eastAsia" w:ascii="黑体" w:hAnsi="黑体" w:eastAsia="黑体" w:cs="黑体"/>
          <w:sz w:val="33"/>
          <w:szCs w:val="33"/>
          <w:lang w:val="en-US" w:eastAsia="zh-CN"/>
        </w:rPr>
      </w:pPr>
      <w:r>
        <w:rPr>
          <w:rFonts w:hint="eastAsia" w:ascii="黑体" w:hAnsi="黑体" w:eastAsia="黑体" w:cs="黑体"/>
          <w:sz w:val="33"/>
          <w:szCs w:val="33"/>
          <w:lang w:val="en-US" w:eastAsia="zh-CN"/>
        </w:rPr>
        <w:t>三、贷款申请材料</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lang w:val="en-US" w:eastAsia="zh-CN"/>
        </w:rPr>
      </w:pPr>
      <w:r>
        <w:rPr>
          <w:rFonts w:hint="eastAsia" w:hAnsi="仿宋_GB2312" w:eastAsia="仿宋_GB2312" w:cs="仿宋_GB2312"/>
          <w:snapToGrid w:val="0"/>
          <w:color w:val="000000"/>
          <w:kern w:val="0"/>
          <w:sz w:val="32"/>
          <w:szCs w:val="32"/>
          <w:lang w:val="en-US" w:eastAsia="zh-CN"/>
        </w:rPr>
        <w:t>(一)借款人身份证、户口簿;</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lang w:val="en-US" w:eastAsia="zh-CN"/>
        </w:rPr>
      </w:pPr>
      <w:r>
        <w:rPr>
          <w:rFonts w:hint="eastAsia" w:hAnsi="仿宋_GB2312" w:eastAsia="仿宋_GB2312" w:cs="仿宋_GB2312"/>
          <w:snapToGrid w:val="0"/>
          <w:color w:val="000000"/>
          <w:kern w:val="0"/>
          <w:sz w:val="32"/>
          <w:szCs w:val="32"/>
          <w:lang w:val="en-US" w:eastAsia="zh-CN"/>
        </w:rPr>
        <w:t>(二)收入证明</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lang w:val="en-US" w:eastAsia="zh-CN"/>
        </w:rPr>
      </w:pPr>
      <w:r>
        <w:rPr>
          <w:rFonts w:hint="eastAsia" w:hAnsi="仿宋_GB2312" w:eastAsia="仿宋_GB2312" w:cs="仿宋_GB2312"/>
          <w:snapToGrid w:val="0"/>
          <w:color w:val="000000"/>
          <w:kern w:val="0"/>
          <w:sz w:val="32"/>
          <w:szCs w:val="32"/>
          <w:lang w:val="en-US" w:eastAsia="zh-CN"/>
        </w:rPr>
        <w:t>受雇人士：提供工作单位出具的收入证明，同时提供公积金、社保、纳税证明或代发工资流水中的任意一项。</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lang w:val="en-US" w:eastAsia="zh-CN"/>
        </w:rPr>
      </w:pPr>
      <w:r>
        <w:rPr>
          <w:rFonts w:hint="eastAsia" w:hAnsi="仿宋_GB2312" w:eastAsia="仿宋_GB2312" w:cs="仿宋_GB2312"/>
          <w:snapToGrid w:val="0"/>
          <w:color w:val="000000"/>
          <w:kern w:val="0"/>
          <w:sz w:val="32"/>
          <w:szCs w:val="32"/>
          <w:lang w:val="en-US" w:eastAsia="zh-CN"/>
        </w:rPr>
        <w:t>自雇人士：提供工作单位收入证明、银行流水、纳税证明、销售流水中的任意两项，并提供个人从事生产经营的证明，如营 业执照、承包租赁合同、村委或镇街相应证明。</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lang w:val="en-US" w:eastAsia="zh-CN"/>
        </w:rPr>
      </w:pPr>
      <w:r>
        <w:rPr>
          <w:rFonts w:hint="eastAsia" w:hAnsi="仿宋_GB2312" w:eastAsia="仿宋_GB2312" w:cs="仿宋_GB2312"/>
          <w:snapToGrid w:val="0"/>
          <w:color w:val="000000"/>
          <w:kern w:val="0"/>
          <w:sz w:val="32"/>
          <w:szCs w:val="32"/>
          <w:lang w:val="en-US" w:eastAsia="zh-CN"/>
        </w:rPr>
        <w:t>(三)获得乡村好青年荣誉的获奖证书、表彰文件或当地团 组织提供的证明材料;</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lang w:val="en-US" w:eastAsia="zh-CN"/>
        </w:rPr>
      </w:pPr>
      <w:r>
        <w:rPr>
          <w:rFonts w:hint="eastAsia" w:hAnsi="仿宋_GB2312" w:eastAsia="仿宋_GB2312" w:cs="仿宋_GB2312"/>
          <w:snapToGrid w:val="0"/>
          <w:color w:val="000000"/>
          <w:kern w:val="0"/>
          <w:sz w:val="32"/>
          <w:szCs w:val="32"/>
          <w:lang w:val="en-US" w:eastAsia="zh-CN"/>
        </w:rPr>
        <w:t>(四)征信查询授权材料;</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lang w:val="en-US" w:eastAsia="zh-CN"/>
        </w:rPr>
      </w:pPr>
      <w:r>
        <w:rPr>
          <w:rFonts w:hint="eastAsia" w:hAnsi="仿宋_GB2312" w:eastAsia="仿宋_GB2312" w:cs="仿宋_GB2312"/>
          <w:snapToGrid w:val="0"/>
          <w:color w:val="000000"/>
          <w:kern w:val="0"/>
          <w:sz w:val="32"/>
          <w:szCs w:val="32"/>
          <w:lang w:val="en-US" w:eastAsia="zh-CN"/>
        </w:rPr>
        <w:t>(五)贷款人要求提供的其他材料</w:t>
      </w:r>
    </w:p>
    <w:p>
      <w:pPr>
        <w:pStyle w:val="2"/>
        <w:rPr>
          <w:rFonts w:hint="eastAsia" w:ascii="仿宋" w:hAnsi="仿宋_GB2312" w:eastAsia="仿宋_GB2312" w:cs="仿宋_GB2312"/>
          <w:snapToGrid w:val="0"/>
          <w:color w:val="000000"/>
          <w:kern w:val="0"/>
          <w:sz w:val="32"/>
          <w:szCs w:val="32"/>
          <w:lang w:val="en-US" w:eastAsia="zh-CN" w:bidi="ar-SA"/>
        </w:rPr>
      </w:pPr>
    </w:p>
    <w:p>
      <w:pPr>
        <w:pStyle w:val="2"/>
        <w:ind w:left="0" w:leftChars="0" w:firstLine="640" w:firstLineChars="200"/>
        <w:rPr>
          <w:rFonts w:hint="eastAsia" w:ascii="仿宋" w:hAnsi="仿宋_GB2312" w:eastAsia="仿宋_GB2312" w:cs="仿宋_GB2312"/>
          <w:snapToGrid w:val="0"/>
          <w:color w:val="000000"/>
          <w:kern w:val="0"/>
          <w:sz w:val="32"/>
          <w:szCs w:val="32"/>
          <w:lang w:val="en-US" w:eastAsia="zh-CN" w:bidi="ar-SA"/>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CESI楷体-GB2312" w:hAnsi="CESI楷体-GB2312" w:eastAsia="CESI楷体-GB2312" w:cs="CESI楷体-GB2312"/>
          <w:snapToGrid w:val="0"/>
          <w:color w:val="000000"/>
          <w:kern w:val="0"/>
          <w:sz w:val="32"/>
          <w:szCs w:val="32"/>
          <w:lang w:val="en-US" w:eastAsia="zh-CN" w:bidi="ar-SA"/>
        </w:rPr>
        <w:t>主办单位：共青团东营市委  联系电话：8381567</w:t>
      </w:r>
    </w:p>
    <w:p>
      <w:pPr>
        <w:keepNext w:val="0"/>
        <w:keepLines w:val="0"/>
        <w:pageBreakBefore w:val="0"/>
        <w:kinsoku/>
        <w:wordWrap/>
        <w:overflowPunct/>
        <w:topLinePunct w:val="0"/>
        <w:autoSpaceDE/>
        <w:autoSpaceDN/>
        <w:bidi w:val="0"/>
        <w:adjustRightInd/>
        <w:snapToGrid/>
        <w:spacing w:line="59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bCs w:val="0"/>
          <w:kern w:val="2"/>
          <w:sz w:val="36"/>
          <w:szCs w:val="36"/>
          <w:highlight w:val="none"/>
          <w:lang w:val="en-US" w:eastAsia="zh-CN" w:bidi="ar-SA"/>
        </w:rPr>
      </w:pPr>
    </w:p>
    <w:p>
      <w:pPr>
        <w:keepNext w:val="0"/>
        <w:keepLines w:val="0"/>
        <w:pageBreakBefore w:val="0"/>
        <w:kinsoku/>
        <w:wordWrap/>
        <w:overflowPunct/>
        <w:topLinePunct w:val="0"/>
        <w:autoSpaceDE/>
        <w:autoSpaceDN/>
        <w:bidi w:val="0"/>
        <w:adjustRightInd/>
        <w:snapToGrid/>
        <w:spacing w:line="59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bCs w:val="0"/>
          <w:sz w:val="36"/>
          <w:szCs w:val="36"/>
          <w:highlight w:val="yellow"/>
          <w:lang w:eastAsia="zh-CN"/>
        </w:rPr>
      </w:pPr>
      <w:bookmarkStart w:id="7" w:name="_Toc26691"/>
      <w:r>
        <w:rPr>
          <w:rFonts w:hint="eastAsia" w:ascii="方正小标宋简体" w:hAnsi="方正小标宋简体" w:eastAsia="方正小标宋简体" w:cs="方正小标宋简体"/>
          <w:b w:val="0"/>
          <w:bCs w:val="0"/>
          <w:kern w:val="2"/>
          <w:sz w:val="36"/>
          <w:szCs w:val="36"/>
          <w:highlight w:val="none"/>
          <w:lang w:val="en-US" w:eastAsia="zh-CN" w:bidi="ar-SA"/>
        </w:rPr>
        <w:t>鲁担巾帼贷</w:t>
      </w:r>
      <w:bookmarkEnd w:id="7"/>
    </w:p>
    <w:p>
      <w:pPr>
        <w:pStyle w:val="2"/>
        <w:rPr>
          <w:rFonts w:hint="eastAsia"/>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8" w:firstLineChars="200"/>
        <w:textAlignment w:val="auto"/>
        <w:rPr>
          <w:rFonts w:ascii="黑体" w:hAnsi="黑体" w:eastAsia="黑体" w:cs="黑体"/>
          <w:sz w:val="31"/>
          <w:szCs w:val="31"/>
        </w:rPr>
      </w:pPr>
      <w:r>
        <w:rPr>
          <w:rFonts w:ascii="黑体" w:hAnsi="黑体" w:eastAsia="黑体" w:cs="黑体"/>
          <w:spacing w:val="7"/>
          <w:sz w:val="31"/>
          <w:szCs w:val="31"/>
        </w:rPr>
        <w:t>一、服务对象</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在东营市境内进行创业就业的妇女，以及妇女领办的企业(包括但不限于家庭农场、农民专业合作社、农业社会化服务组织、小微农业企业等)。</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64" w:firstLineChars="200"/>
        <w:textAlignment w:val="auto"/>
        <w:rPr>
          <w:rFonts w:ascii="黑体" w:hAnsi="黑体" w:eastAsia="黑体" w:cs="黑体"/>
          <w:sz w:val="31"/>
          <w:szCs w:val="31"/>
        </w:rPr>
      </w:pPr>
      <w:r>
        <w:rPr>
          <w:rFonts w:ascii="黑体" w:hAnsi="黑体" w:eastAsia="黑体" w:cs="黑体"/>
          <w:spacing w:val="11"/>
          <w:sz w:val="31"/>
          <w:szCs w:val="31"/>
        </w:rPr>
        <w:t>二</w:t>
      </w:r>
      <w:r>
        <w:rPr>
          <w:rFonts w:ascii="黑体" w:hAnsi="黑体" w:eastAsia="黑体" w:cs="黑体"/>
          <w:spacing w:val="7"/>
          <w:sz w:val="31"/>
          <w:szCs w:val="31"/>
        </w:rPr>
        <w:t>、担保贷款用途</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担保贷款用于粮食生产、畜牧水产养殖、菜果茶等农林优势特色产业，农资、农机、农技等农业社会化服务，农田基础 设施，以及与农业生产直接相关的一二三产业融合发展项目，家庭休闲农业、观光农业等农村新业态生产经营。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8" w:firstLineChars="200"/>
        <w:textAlignment w:val="auto"/>
        <w:rPr>
          <w:rFonts w:ascii="黑体" w:hAnsi="黑体" w:eastAsia="黑体" w:cs="黑体"/>
          <w:sz w:val="31"/>
          <w:szCs w:val="31"/>
        </w:rPr>
      </w:pPr>
      <w:r>
        <w:rPr>
          <w:rFonts w:ascii="黑体" w:hAnsi="黑体" w:eastAsia="黑体" w:cs="黑体"/>
          <w:spacing w:val="7"/>
          <w:sz w:val="31"/>
          <w:szCs w:val="31"/>
        </w:rPr>
        <w:t>三、准入条</w:t>
      </w:r>
      <w:r>
        <w:rPr>
          <w:rFonts w:ascii="黑体" w:hAnsi="黑体" w:eastAsia="黑体" w:cs="黑体"/>
          <w:spacing w:val="5"/>
          <w:sz w:val="31"/>
          <w:szCs w:val="31"/>
        </w:rPr>
        <w:t>件</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(一)申请人及其配偶诚实守信，无不良信用记录；</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(二)从事该项生产经营一年以上；</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(三)在东营市境内有固定的生产经营场所，有稳定的经济收入和效益；</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(四)融资用途合法</w:t>
      </w:r>
      <w:r>
        <w:rPr>
          <w:rFonts w:hint="eastAsia" w:hAnsi="仿宋_GB2312" w:eastAsia="仿宋_GB2312" w:cs="仿宋_GB2312"/>
          <w:snapToGrid w:val="0"/>
          <w:color w:val="000000"/>
          <w:kern w:val="0"/>
          <w:sz w:val="32"/>
          <w:szCs w:val="32"/>
          <w:lang w:eastAsia="zh-CN"/>
        </w:rPr>
        <w:t>、</w:t>
      </w:r>
      <w:r>
        <w:rPr>
          <w:rFonts w:hint="eastAsia" w:hAnsi="仿宋_GB2312" w:eastAsia="仿宋_GB2312" w:cs="仿宋_GB2312"/>
          <w:snapToGrid w:val="0"/>
          <w:color w:val="000000"/>
          <w:kern w:val="0"/>
          <w:sz w:val="32"/>
          <w:szCs w:val="32"/>
        </w:rPr>
        <w:t>合规、真实；</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lang w:eastAsia="zh-CN"/>
        </w:rPr>
      </w:pPr>
      <w:r>
        <w:rPr>
          <w:rFonts w:hint="eastAsia" w:hAnsi="仿宋_GB2312" w:eastAsia="仿宋_GB2312" w:cs="仿宋_GB2312"/>
          <w:snapToGrid w:val="0"/>
          <w:color w:val="000000"/>
          <w:kern w:val="0"/>
          <w:sz w:val="32"/>
          <w:szCs w:val="32"/>
        </w:rPr>
        <w:t>(五)经县级妇联组织推荐</w:t>
      </w:r>
      <w:r>
        <w:rPr>
          <w:rFonts w:hint="eastAsia" w:hAnsi="仿宋_GB2312" w:eastAsia="仿宋_GB2312" w:cs="仿宋_GB2312"/>
          <w:snapToGrid w:val="0"/>
          <w:color w:val="000000"/>
          <w:kern w:val="0"/>
          <w:sz w:val="32"/>
          <w:szCs w:val="32"/>
          <w:lang w:eastAsia="zh-CN"/>
        </w:rPr>
        <w:t>；</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(六)省农担公司及贷款银行规定的其他条件。</w:t>
      </w:r>
    </w:p>
    <w:p>
      <w:pPr>
        <w:keepNext w:val="0"/>
        <w:keepLines w:val="0"/>
        <w:pageBreakBefore w:val="0"/>
        <w:widowControl w:val="0"/>
        <w:kinsoku/>
        <w:wordWrap/>
        <w:overflowPunct/>
        <w:topLinePunct w:val="0"/>
        <w:autoSpaceDE/>
        <w:autoSpaceDN/>
        <w:bidi w:val="0"/>
        <w:adjustRightInd/>
        <w:snapToGrid/>
        <w:spacing w:line="560" w:lineRule="exact"/>
        <w:ind w:left="0" w:right="0"/>
        <w:textAlignment w:val="auto"/>
        <w:rPr>
          <w:rFonts w:hint="default" w:ascii="黑体" w:hAnsi="黑体" w:eastAsia="黑体" w:cs="黑体"/>
          <w:sz w:val="31"/>
          <w:szCs w:val="31"/>
          <w:lang w:val="en-US" w:eastAsia="zh-CN"/>
        </w:rPr>
      </w:pPr>
      <w:r>
        <w:rPr>
          <w:rFonts w:ascii="黑体" w:hAnsi="黑体" w:eastAsia="黑体" w:cs="黑体"/>
          <w:spacing w:val="8"/>
          <w:sz w:val="31"/>
          <w:szCs w:val="31"/>
        </w:rPr>
        <w:t>四</w:t>
      </w:r>
      <w:r>
        <w:rPr>
          <w:rFonts w:ascii="黑体" w:hAnsi="黑体" w:eastAsia="黑体" w:cs="黑体"/>
          <w:spacing w:val="4"/>
          <w:sz w:val="31"/>
          <w:szCs w:val="31"/>
        </w:rPr>
        <w:t>、担保额度</w:t>
      </w:r>
      <w:r>
        <w:rPr>
          <w:rFonts w:hint="eastAsia" w:ascii="黑体" w:hAnsi="黑体" w:eastAsia="黑体" w:cs="黑体"/>
          <w:spacing w:val="4"/>
          <w:sz w:val="31"/>
          <w:szCs w:val="31"/>
          <w:lang w:eastAsia="zh-CN"/>
        </w:rPr>
        <w:t>、</w:t>
      </w:r>
      <w:r>
        <w:rPr>
          <w:rFonts w:hint="eastAsia" w:ascii="黑体" w:hAnsi="黑体" w:eastAsia="黑体" w:cs="黑体"/>
          <w:spacing w:val="4"/>
          <w:sz w:val="31"/>
          <w:szCs w:val="31"/>
          <w:lang w:val="en-US" w:eastAsia="zh-CN"/>
        </w:rPr>
        <w:t>期限及费率</w:t>
      </w:r>
    </w:p>
    <w:p>
      <w:pPr>
        <w:adjustRightInd w:val="0"/>
        <w:snapToGrid w:val="0"/>
        <w:spacing w:line="560" w:lineRule="exact"/>
        <w:ind w:firstLine="640" w:firstLineChars="200"/>
        <w:rPr>
          <w:rFonts w:hint="default" w:hAnsi="仿宋_GB2312" w:eastAsia="仿宋_GB2312" w:cs="仿宋_GB2312"/>
          <w:snapToGrid w:val="0"/>
          <w:color w:val="000000"/>
          <w:kern w:val="0"/>
          <w:sz w:val="32"/>
          <w:szCs w:val="32"/>
          <w:lang w:val="en-US" w:eastAsia="zh-CN"/>
        </w:rPr>
      </w:pPr>
      <w:r>
        <w:rPr>
          <w:rFonts w:hint="eastAsia" w:hAnsi="仿宋_GB2312" w:eastAsia="仿宋_GB2312" w:cs="仿宋_GB2312"/>
          <w:snapToGrid w:val="0"/>
          <w:color w:val="000000"/>
          <w:kern w:val="0"/>
          <w:sz w:val="32"/>
          <w:szCs w:val="32"/>
          <w:lang w:eastAsia="zh-CN"/>
        </w:rPr>
        <w:t>（</w:t>
      </w:r>
      <w:r>
        <w:rPr>
          <w:rFonts w:hint="eastAsia" w:hAnsi="仿宋_GB2312" w:eastAsia="仿宋_GB2312" w:cs="仿宋_GB2312"/>
          <w:snapToGrid w:val="0"/>
          <w:color w:val="000000"/>
          <w:kern w:val="0"/>
          <w:sz w:val="32"/>
          <w:szCs w:val="32"/>
          <w:lang w:val="en-US" w:eastAsia="zh-CN"/>
        </w:rPr>
        <w:t>一</w:t>
      </w:r>
      <w:r>
        <w:rPr>
          <w:rFonts w:hint="eastAsia" w:hAnsi="仿宋_GB2312" w:eastAsia="仿宋_GB2312" w:cs="仿宋_GB2312"/>
          <w:snapToGrid w:val="0"/>
          <w:color w:val="000000"/>
          <w:kern w:val="0"/>
          <w:sz w:val="32"/>
          <w:szCs w:val="32"/>
          <w:lang w:eastAsia="zh-CN"/>
        </w:rPr>
        <w:t>）</w:t>
      </w:r>
      <w:r>
        <w:rPr>
          <w:rFonts w:hint="eastAsia" w:hAnsi="仿宋_GB2312" w:eastAsia="仿宋_GB2312" w:cs="仿宋_GB2312"/>
          <w:snapToGrid w:val="0"/>
          <w:color w:val="000000"/>
          <w:kern w:val="0"/>
          <w:sz w:val="32"/>
          <w:szCs w:val="32"/>
          <w:lang w:val="en-US" w:eastAsia="zh-CN"/>
        </w:rPr>
        <w:t>额度</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单户申请政策性贷款担保的额度为10万元(含)至300 万元(含)。</w:t>
      </w:r>
    </w:p>
    <w:p>
      <w:pPr>
        <w:adjustRightInd w:val="0"/>
        <w:snapToGrid w:val="0"/>
        <w:spacing w:line="560" w:lineRule="exact"/>
        <w:ind w:firstLine="640" w:firstLineChars="200"/>
        <w:rPr>
          <w:rFonts w:hint="default" w:hAnsi="仿宋_GB2312" w:eastAsia="仿宋_GB2312" w:cs="仿宋_GB2312"/>
          <w:snapToGrid w:val="0"/>
          <w:color w:val="000000"/>
          <w:kern w:val="0"/>
          <w:sz w:val="32"/>
          <w:szCs w:val="32"/>
          <w:lang w:val="en-US" w:eastAsia="zh-CN"/>
        </w:rPr>
      </w:pPr>
      <w:r>
        <w:rPr>
          <w:rFonts w:hint="eastAsia" w:hAnsi="仿宋_GB2312" w:eastAsia="仿宋_GB2312" w:cs="仿宋_GB2312"/>
          <w:snapToGrid w:val="0"/>
          <w:color w:val="000000"/>
          <w:kern w:val="0"/>
          <w:sz w:val="32"/>
          <w:szCs w:val="32"/>
          <w:lang w:val="en-US" w:eastAsia="zh-CN"/>
        </w:rPr>
        <w:t>（二）期限</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担保期限原则上为1至3年，对于从事回收期较长的种植、养殖等项目，可根据生产经营周期适当延长担保期限，但最长不超过10年。</w:t>
      </w:r>
    </w:p>
    <w:p>
      <w:pPr>
        <w:adjustRightInd w:val="0"/>
        <w:snapToGrid w:val="0"/>
        <w:spacing w:line="560" w:lineRule="exact"/>
        <w:ind w:firstLine="640" w:firstLineChars="200"/>
        <w:rPr>
          <w:rFonts w:hint="default" w:hAnsi="仿宋_GB2312" w:eastAsia="仿宋_GB2312" w:cs="仿宋_GB2312"/>
          <w:snapToGrid w:val="0"/>
          <w:color w:val="000000"/>
          <w:kern w:val="0"/>
          <w:sz w:val="32"/>
          <w:szCs w:val="32"/>
          <w:lang w:val="en-US" w:eastAsia="zh-CN"/>
        </w:rPr>
      </w:pPr>
      <w:r>
        <w:rPr>
          <w:rFonts w:hint="eastAsia" w:hAnsi="仿宋_GB2312" w:eastAsia="仿宋_GB2312" w:cs="仿宋_GB2312"/>
          <w:snapToGrid w:val="0"/>
          <w:color w:val="000000"/>
          <w:kern w:val="0"/>
          <w:sz w:val="32"/>
          <w:szCs w:val="32"/>
          <w:lang w:eastAsia="zh-CN"/>
        </w:rPr>
        <w:t>（</w:t>
      </w:r>
      <w:r>
        <w:rPr>
          <w:rFonts w:hint="eastAsia" w:hAnsi="仿宋_GB2312" w:eastAsia="仿宋_GB2312" w:cs="仿宋_GB2312"/>
          <w:snapToGrid w:val="0"/>
          <w:color w:val="000000"/>
          <w:kern w:val="0"/>
          <w:sz w:val="32"/>
          <w:szCs w:val="32"/>
          <w:lang w:val="en-US" w:eastAsia="zh-CN"/>
        </w:rPr>
        <w:t>三</w:t>
      </w:r>
      <w:r>
        <w:rPr>
          <w:rFonts w:hint="eastAsia" w:hAnsi="仿宋_GB2312" w:eastAsia="仿宋_GB2312" w:cs="仿宋_GB2312"/>
          <w:snapToGrid w:val="0"/>
          <w:color w:val="000000"/>
          <w:kern w:val="0"/>
          <w:sz w:val="32"/>
          <w:szCs w:val="32"/>
          <w:lang w:eastAsia="zh-CN"/>
        </w:rPr>
        <w:t>）</w:t>
      </w:r>
      <w:r>
        <w:rPr>
          <w:rFonts w:hint="eastAsia" w:hAnsi="仿宋_GB2312" w:eastAsia="仿宋_GB2312" w:cs="仿宋_GB2312"/>
          <w:snapToGrid w:val="0"/>
          <w:color w:val="000000"/>
          <w:kern w:val="0"/>
          <w:sz w:val="32"/>
          <w:szCs w:val="32"/>
          <w:lang w:val="en-US" w:eastAsia="zh-CN"/>
        </w:rPr>
        <w:t>费率</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从事粮食种植的项目，年度担保费率为 1%；其他符合条件的项目</w:t>
      </w:r>
      <w:r>
        <w:rPr>
          <w:rFonts w:hint="eastAsia" w:hAnsi="仿宋_GB2312" w:eastAsia="仿宋_GB2312" w:cs="仿宋_GB2312"/>
          <w:snapToGrid w:val="0"/>
          <w:color w:val="000000"/>
          <w:kern w:val="0"/>
          <w:sz w:val="32"/>
          <w:szCs w:val="32"/>
          <w:lang w:eastAsia="zh-CN"/>
        </w:rPr>
        <w:t>，</w:t>
      </w:r>
      <w:r>
        <w:rPr>
          <w:rFonts w:hint="eastAsia" w:hAnsi="仿宋_GB2312" w:eastAsia="仿宋_GB2312" w:cs="仿宋_GB2312"/>
          <w:snapToGrid w:val="0"/>
          <w:color w:val="000000"/>
          <w:kern w:val="0"/>
          <w:sz w:val="32"/>
          <w:szCs w:val="32"/>
        </w:rPr>
        <w:t>年度担保费率为1.5%。申请人的综合信贷成本(贷款利率、贷款主体承担的担保费率等各项之和)不超过 8%。</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担保费根据担保金额、担保费率和担保期限按年计收。担保期限不足一年(含)的，按一年收取；超过一年的，按实际担保期限计收。其中在疫情防控期间(2020 年 2 月</w:t>
      </w:r>
      <w:r>
        <w:rPr>
          <w:rFonts w:hint="eastAsia" w:hAnsi="仿宋_GB2312" w:eastAsia="仿宋_GB2312" w:cs="仿宋_GB2312"/>
          <w:snapToGrid w:val="0"/>
          <w:color w:val="000000"/>
          <w:kern w:val="0"/>
          <w:sz w:val="32"/>
          <w:szCs w:val="32"/>
          <w:lang w:val="en-US" w:eastAsia="zh-CN"/>
        </w:rPr>
        <w:t>3</w:t>
      </w:r>
      <w:r>
        <w:rPr>
          <w:rFonts w:hint="eastAsia" w:hAnsi="仿宋_GB2312" w:eastAsia="仿宋_GB2312" w:cs="仿宋_GB2312"/>
          <w:snapToGrid w:val="0"/>
          <w:color w:val="000000"/>
          <w:kern w:val="0"/>
          <w:sz w:val="32"/>
          <w:szCs w:val="32"/>
        </w:rPr>
        <w:t>日至省政府正式宣布疫情结束日止)新增的担保业务，减半收取担保费。</w:t>
      </w:r>
    </w:p>
    <w:p>
      <w:pPr>
        <w:keepNext w:val="0"/>
        <w:keepLines w:val="0"/>
        <w:pageBreakBefore w:val="0"/>
        <w:widowControl w:val="0"/>
        <w:kinsoku/>
        <w:wordWrap/>
        <w:overflowPunct/>
        <w:topLinePunct w:val="0"/>
        <w:autoSpaceDE/>
        <w:autoSpaceDN/>
        <w:bidi w:val="0"/>
        <w:adjustRightInd/>
        <w:snapToGrid/>
        <w:spacing w:line="560" w:lineRule="exact"/>
        <w:ind w:left="0" w:right="0"/>
        <w:textAlignment w:val="auto"/>
        <w:rPr>
          <w:rFonts w:ascii="黑体" w:hAnsi="黑体" w:eastAsia="黑体" w:cs="黑体"/>
          <w:sz w:val="31"/>
          <w:szCs w:val="31"/>
        </w:rPr>
      </w:pPr>
      <w:r>
        <w:rPr>
          <w:rFonts w:hint="eastAsia" w:ascii="黑体" w:hAnsi="黑体" w:eastAsia="黑体" w:cs="黑体"/>
          <w:spacing w:val="15"/>
          <w:sz w:val="31"/>
          <w:szCs w:val="31"/>
          <w:lang w:val="en-US" w:eastAsia="zh-CN"/>
        </w:rPr>
        <w:t>五</w:t>
      </w:r>
      <w:r>
        <w:rPr>
          <w:rFonts w:ascii="黑体" w:hAnsi="黑体" w:eastAsia="黑体" w:cs="黑体"/>
          <w:spacing w:val="8"/>
          <w:sz w:val="31"/>
          <w:szCs w:val="31"/>
        </w:rPr>
        <w:t>、财政贴息贴费政策</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对于政策性担保项目，省财政依据鲁财农〔2019〕28号文件的规定，按照融资规模2.175%的比例给予贴息。疫情期间(2020年2月3日至省政府正式宣布疫情结束日止)，省财政贴息率再提高一个百分点。</w:t>
      </w:r>
    </w:p>
    <w:p>
      <w:pPr>
        <w:keepNext w:val="0"/>
        <w:keepLines w:val="0"/>
        <w:pageBreakBefore w:val="0"/>
        <w:widowControl w:val="0"/>
        <w:kinsoku/>
        <w:wordWrap/>
        <w:overflowPunct/>
        <w:topLinePunct w:val="0"/>
        <w:autoSpaceDE/>
        <w:autoSpaceDN/>
        <w:bidi w:val="0"/>
        <w:adjustRightInd/>
        <w:snapToGrid/>
        <w:spacing w:line="560" w:lineRule="exact"/>
        <w:ind w:left="0" w:right="0"/>
        <w:textAlignment w:val="auto"/>
        <w:rPr>
          <w:rFonts w:ascii="黑体" w:hAnsi="黑体" w:eastAsia="黑体" w:cs="黑体"/>
          <w:sz w:val="31"/>
          <w:szCs w:val="31"/>
        </w:rPr>
      </w:pPr>
      <w:r>
        <w:rPr>
          <w:rFonts w:hint="eastAsia" w:ascii="黑体" w:hAnsi="黑体" w:eastAsia="黑体" w:cs="黑体"/>
          <w:spacing w:val="8"/>
          <w:sz w:val="31"/>
          <w:szCs w:val="31"/>
          <w:lang w:val="en-US" w:eastAsia="zh-CN"/>
        </w:rPr>
        <w:t>六</w:t>
      </w:r>
      <w:r>
        <w:rPr>
          <w:rFonts w:ascii="黑体" w:hAnsi="黑体" w:eastAsia="黑体" w:cs="黑体"/>
          <w:spacing w:val="8"/>
          <w:sz w:val="31"/>
          <w:szCs w:val="31"/>
        </w:rPr>
        <w:t>、反担保措施</w:t>
      </w:r>
    </w:p>
    <w:p>
      <w:pPr>
        <w:adjustRightInd w:val="0"/>
        <w:snapToGrid w:val="0"/>
        <w:spacing w:line="560" w:lineRule="exact"/>
        <w:ind w:firstLine="640" w:firstLineChars="200"/>
        <w:rPr>
          <w:rFonts w:hint="eastAsia" w:hAnsi="仿宋_GB2312" w:eastAsia="仿宋_GB2312" w:cs="仿宋_GB2312"/>
          <w:snapToGrid w:val="0"/>
          <w:color w:val="000000"/>
          <w:kern w:val="0"/>
          <w:sz w:val="32"/>
          <w:szCs w:val="32"/>
        </w:rPr>
      </w:pPr>
      <w:r>
        <w:rPr>
          <w:rFonts w:hint="eastAsia" w:hAnsi="仿宋_GB2312" w:eastAsia="仿宋_GB2312" w:cs="仿宋_GB2312"/>
          <w:snapToGrid w:val="0"/>
          <w:color w:val="000000"/>
          <w:kern w:val="0"/>
          <w:sz w:val="32"/>
          <w:szCs w:val="32"/>
        </w:rPr>
        <w:t>政策性担保业务原则上要求申请人的配偶、家庭成员提供反担保，有多名成年子女的，应至少有一名成年子女提供反担保。如果借款人家庭有可提供抵(质)押担保财产的</w:t>
      </w:r>
      <w:r>
        <w:rPr>
          <w:rFonts w:hint="eastAsia" w:hAnsi="仿宋_GB2312" w:eastAsia="仿宋_GB2312" w:cs="仿宋_GB2312"/>
          <w:snapToGrid w:val="0"/>
          <w:color w:val="000000"/>
          <w:kern w:val="0"/>
          <w:sz w:val="32"/>
          <w:szCs w:val="32"/>
          <w:lang w:eastAsia="zh-CN"/>
        </w:rPr>
        <w:t>，</w:t>
      </w:r>
      <w:r>
        <w:rPr>
          <w:rFonts w:hint="eastAsia" w:hAnsi="仿宋_GB2312" w:eastAsia="仿宋_GB2312" w:cs="仿宋_GB2312"/>
          <w:snapToGrid w:val="0"/>
          <w:color w:val="000000"/>
          <w:kern w:val="0"/>
          <w:sz w:val="32"/>
          <w:szCs w:val="32"/>
        </w:rPr>
        <w:t>应提供抵(质) 押担保或反担保，没有的</w:t>
      </w:r>
      <w:r>
        <w:rPr>
          <w:rFonts w:hint="eastAsia" w:hAnsi="仿宋_GB2312" w:eastAsia="仿宋_GB2312" w:cs="仿宋_GB2312"/>
          <w:snapToGrid w:val="0"/>
          <w:color w:val="000000"/>
          <w:kern w:val="0"/>
          <w:sz w:val="32"/>
          <w:szCs w:val="32"/>
          <w:lang w:eastAsia="zh-CN"/>
        </w:rPr>
        <w:t>，</w:t>
      </w:r>
      <w:r>
        <w:rPr>
          <w:rFonts w:hint="eastAsia" w:hAnsi="仿宋_GB2312" w:eastAsia="仿宋_GB2312" w:cs="仿宋_GB2312"/>
          <w:snapToGrid w:val="0"/>
          <w:color w:val="000000"/>
          <w:kern w:val="0"/>
          <w:sz w:val="32"/>
          <w:szCs w:val="32"/>
        </w:rPr>
        <w:t>不强制要求提供。</w:t>
      </w:r>
    </w:p>
    <w:p>
      <w:pPr>
        <w:keepNext w:val="0"/>
        <w:keepLines w:val="0"/>
        <w:pageBreakBefore w:val="0"/>
        <w:widowControl w:val="0"/>
        <w:kinsoku/>
        <w:wordWrap/>
        <w:overflowPunct/>
        <w:topLinePunct w:val="0"/>
        <w:autoSpaceDE/>
        <w:autoSpaceDN/>
        <w:bidi w:val="0"/>
        <w:adjustRightInd/>
        <w:snapToGrid/>
        <w:spacing w:line="560" w:lineRule="exact"/>
        <w:ind w:left="0"/>
        <w:textAlignment w:val="auto"/>
        <w:rPr>
          <w:rFonts w:ascii="黑体" w:hAnsi="黑体" w:eastAsia="黑体" w:cs="黑体"/>
          <w:sz w:val="31"/>
          <w:szCs w:val="31"/>
        </w:rPr>
      </w:pPr>
      <w:r>
        <w:rPr>
          <w:rFonts w:hint="eastAsia" w:ascii="黑体" w:hAnsi="黑体" w:eastAsia="黑体" w:cs="黑体"/>
          <w:spacing w:val="12"/>
          <w:sz w:val="31"/>
          <w:szCs w:val="31"/>
          <w:lang w:val="en-US" w:eastAsia="zh-CN"/>
        </w:rPr>
        <w:t>七</w:t>
      </w:r>
      <w:r>
        <w:rPr>
          <w:rFonts w:ascii="黑体" w:hAnsi="黑体" w:eastAsia="黑体" w:cs="黑体"/>
          <w:spacing w:val="7"/>
          <w:sz w:val="31"/>
          <w:szCs w:val="31"/>
        </w:rPr>
        <w:t>、工作联系方式</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16" w:firstLineChars="200"/>
        <w:textAlignment w:val="auto"/>
        <w:rPr>
          <w:rFonts w:ascii="仿宋" w:hAnsi="仿宋" w:eastAsia="仿宋" w:cs="仿宋"/>
          <w:sz w:val="31"/>
          <w:szCs w:val="31"/>
        </w:rPr>
      </w:pPr>
      <w:r>
        <w:rPr>
          <w:rFonts w:ascii="仿宋" w:hAnsi="仿宋" w:eastAsia="仿宋" w:cs="仿宋"/>
          <w:spacing w:val="-1"/>
          <w:sz w:val="31"/>
          <w:szCs w:val="31"/>
        </w:rPr>
        <w:t>市妇联</w:t>
      </w:r>
      <w:r>
        <w:rPr>
          <w:rFonts w:hint="eastAsia" w:cs="仿宋"/>
          <w:spacing w:val="-1"/>
          <w:sz w:val="31"/>
          <w:szCs w:val="31"/>
          <w:lang w:eastAsia="zh-CN"/>
        </w:rPr>
        <w:t>：</w:t>
      </w:r>
      <w:r>
        <w:rPr>
          <w:rFonts w:ascii="仿宋" w:hAnsi="仿宋" w:eastAsia="仿宋" w:cs="仿宋"/>
          <w:spacing w:val="-1"/>
          <w:sz w:val="31"/>
          <w:szCs w:val="31"/>
        </w:rPr>
        <w:t>李  云   8</w:t>
      </w:r>
      <w:r>
        <w:rPr>
          <w:rFonts w:ascii="仿宋" w:hAnsi="仿宋" w:eastAsia="仿宋" w:cs="仿宋"/>
          <w:sz w:val="31"/>
          <w:szCs w:val="31"/>
        </w:rPr>
        <w:t>381701</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56" w:firstLineChars="200"/>
        <w:textAlignment w:val="auto"/>
        <w:rPr>
          <w:rFonts w:ascii="仿宋" w:hAnsi="仿宋" w:eastAsia="仿宋" w:cs="仿宋"/>
          <w:sz w:val="31"/>
          <w:szCs w:val="31"/>
        </w:rPr>
      </w:pPr>
      <w:r>
        <w:rPr>
          <w:rFonts w:ascii="仿宋" w:hAnsi="仿宋" w:eastAsia="仿宋" w:cs="仿宋"/>
          <w:spacing w:val="9"/>
          <w:sz w:val="31"/>
          <w:szCs w:val="31"/>
        </w:rPr>
        <w:t>省</w:t>
      </w:r>
      <w:r>
        <w:rPr>
          <w:rFonts w:ascii="仿宋" w:hAnsi="仿宋" w:eastAsia="仿宋" w:cs="仿宋"/>
          <w:spacing w:val="7"/>
          <w:sz w:val="31"/>
          <w:szCs w:val="31"/>
        </w:rPr>
        <w:t>农担公司各县区办事处：</w:t>
      </w:r>
    </w:p>
    <w:tbl>
      <w:tblPr>
        <w:tblStyle w:val="54"/>
        <w:tblpPr w:leftFromText="180" w:rightFromText="180" w:vertAnchor="text" w:horzAnchor="page" w:tblpXSpec="center" w:tblpY="183"/>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42"/>
        <w:gridCol w:w="2904"/>
        <w:gridCol w:w="2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15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4" w:lineRule="auto"/>
              <w:ind w:left="0" w:leftChars="0" w:firstLine="0" w:firstLineChars="0"/>
              <w:jc w:val="center"/>
              <w:textAlignment w:val="auto"/>
              <w:rPr>
                <w:rFonts w:hint="eastAsia" w:ascii="黑体" w:hAnsi="黑体" w:eastAsia="黑体" w:cs="黑体"/>
                <w:sz w:val="24"/>
                <w:szCs w:val="24"/>
              </w:rPr>
            </w:pPr>
            <w:r>
              <w:rPr>
                <w:rFonts w:hint="eastAsia" w:ascii="黑体" w:hAnsi="黑体" w:eastAsia="黑体" w:cs="黑体"/>
                <w:spacing w:val="3"/>
                <w:sz w:val="24"/>
                <w:szCs w:val="24"/>
              </w:rPr>
              <w:t>东</w:t>
            </w:r>
            <w:r>
              <w:rPr>
                <w:rFonts w:hint="eastAsia" w:ascii="黑体" w:hAnsi="黑体" w:eastAsia="黑体" w:cs="黑体"/>
                <w:spacing w:val="2"/>
                <w:sz w:val="24"/>
                <w:szCs w:val="24"/>
              </w:rPr>
              <w:t>营区</w:t>
            </w:r>
          </w:p>
        </w:tc>
        <w:tc>
          <w:tcPr>
            <w:tcW w:w="17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2" w:lineRule="auto"/>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pacing w:val="4"/>
                <w:sz w:val="24"/>
                <w:szCs w:val="24"/>
              </w:rPr>
              <w:t>杨浩然</w:t>
            </w:r>
          </w:p>
        </w:tc>
        <w:tc>
          <w:tcPr>
            <w:tcW w:w="1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188"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1321031336</w:t>
            </w:r>
            <w:r>
              <w:rPr>
                <w:rFonts w:hint="eastAsia" w:ascii="宋体" w:hAnsi="宋体" w:eastAsia="宋体" w:cs="宋体"/>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15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4" w:lineRule="auto"/>
              <w:ind w:left="0" w:leftChars="0" w:firstLine="0" w:firstLineChars="0"/>
              <w:jc w:val="center"/>
              <w:textAlignment w:val="auto"/>
              <w:rPr>
                <w:rFonts w:hint="eastAsia" w:ascii="黑体" w:hAnsi="黑体" w:eastAsia="黑体" w:cs="黑体"/>
                <w:sz w:val="24"/>
                <w:szCs w:val="24"/>
              </w:rPr>
            </w:pPr>
            <w:r>
              <w:rPr>
                <w:rFonts w:hint="eastAsia" w:ascii="黑体" w:hAnsi="黑体" w:eastAsia="黑体" w:cs="黑体"/>
                <w:spacing w:val="-1"/>
                <w:sz w:val="24"/>
                <w:szCs w:val="24"/>
              </w:rPr>
              <w:t>河</w:t>
            </w:r>
            <w:r>
              <w:rPr>
                <w:rFonts w:hint="eastAsia" w:ascii="黑体" w:hAnsi="黑体" w:eastAsia="黑体" w:cs="黑体"/>
                <w:sz w:val="24"/>
                <w:szCs w:val="24"/>
              </w:rPr>
              <w:t>口区</w:t>
            </w:r>
          </w:p>
        </w:tc>
        <w:tc>
          <w:tcPr>
            <w:tcW w:w="17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4" w:lineRule="auto"/>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pacing w:val="5"/>
                <w:sz w:val="24"/>
                <w:szCs w:val="24"/>
              </w:rPr>
              <w:t>李</w:t>
            </w:r>
            <w:r>
              <w:rPr>
                <w:rFonts w:hint="eastAsia" w:ascii="宋体" w:hAnsi="宋体" w:eastAsia="宋体" w:cs="宋体"/>
                <w:spacing w:val="4"/>
                <w:sz w:val="24"/>
                <w:szCs w:val="24"/>
              </w:rPr>
              <w:t>福昌</w:t>
            </w:r>
          </w:p>
        </w:tc>
        <w:tc>
          <w:tcPr>
            <w:tcW w:w="1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188"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1555468333</w:t>
            </w:r>
            <w:r>
              <w:rPr>
                <w:rFonts w:hint="eastAsia" w:ascii="宋体" w:hAnsi="宋体" w:eastAsia="宋体" w:cs="宋体"/>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15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4" w:lineRule="auto"/>
              <w:ind w:left="0" w:firstLine="0" w:firstLineChars="0"/>
              <w:jc w:val="center"/>
              <w:textAlignment w:val="auto"/>
              <w:rPr>
                <w:rFonts w:hint="eastAsia" w:ascii="黑体" w:hAnsi="黑体" w:eastAsia="黑体" w:cs="黑体"/>
                <w:sz w:val="24"/>
                <w:szCs w:val="24"/>
              </w:rPr>
            </w:pPr>
            <w:r>
              <w:rPr>
                <w:rFonts w:hint="eastAsia" w:ascii="黑体" w:hAnsi="黑体" w:eastAsia="黑体" w:cs="黑体"/>
                <w:spacing w:val="3"/>
                <w:sz w:val="24"/>
                <w:szCs w:val="24"/>
              </w:rPr>
              <w:t>垦利区</w:t>
            </w:r>
          </w:p>
        </w:tc>
        <w:tc>
          <w:tcPr>
            <w:tcW w:w="17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3" w:lineRule="auto"/>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pacing w:val="3"/>
                <w:sz w:val="24"/>
                <w:szCs w:val="24"/>
              </w:rPr>
              <w:t>杨  健</w:t>
            </w:r>
          </w:p>
        </w:tc>
        <w:tc>
          <w:tcPr>
            <w:tcW w:w="1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188"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1890546600</w:t>
            </w:r>
            <w:r>
              <w:rPr>
                <w:rFonts w:hint="eastAsia" w:ascii="宋体" w:hAnsi="宋体" w:eastAsia="宋体" w:cs="宋体"/>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4" w:lineRule="auto"/>
              <w:ind w:left="0" w:firstLine="0" w:firstLineChars="0"/>
              <w:jc w:val="center"/>
              <w:textAlignment w:val="auto"/>
              <w:rPr>
                <w:rFonts w:hint="eastAsia" w:ascii="黑体" w:hAnsi="黑体" w:eastAsia="黑体" w:cs="黑体"/>
                <w:sz w:val="24"/>
                <w:szCs w:val="24"/>
              </w:rPr>
            </w:pPr>
            <w:r>
              <w:rPr>
                <w:rFonts w:hint="eastAsia" w:ascii="黑体" w:hAnsi="黑体" w:eastAsia="黑体" w:cs="黑体"/>
                <w:spacing w:val="6"/>
                <w:sz w:val="24"/>
                <w:szCs w:val="24"/>
              </w:rPr>
              <w:t>广饶县</w:t>
            </w:r>
          </w:p>
        </w:tc>
        <w:tc>
          <w:tcPr>
            <w:tcW w:w="17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4" w:lineRule="auto"/>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pacing w:val="9"/>
                <w:sz w:val="24"/>
                <w:szCs w:val="24"/>
              </w:rPr>
              <w:t>梁</w:t>
            </w:r>
            <w:r>
              <w:rPr>
                <w:rFonts w:hint="eastAsia" w:ascii="宋体" w:hAnsi="宋体" w:eastAsia="宋体" w:cs="宋体"/>
                <w:spacing w:val="6"/>
                <w:sz w:val="24"/>
                <w:szCs w:val="24"/>
              </w:rPr>
              <w:t xml:space="preserve">  波</w:t>
            </w:r>
          </w:p>
        </w:tc>
        <w:tc>
          <w:tcPr>
            <w:tcW w:w="1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188"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1825464220</w:t>
            </w:r>
            <w:r>
              <w:rPr>
                <w:rFonts w:hint="eastAsia" w:ascii="宋体" w:hAnsi="宋体" w:eastAsia="宋体" w:cs="宋体"/>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5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190" w:lineRule="auto"/>
              <w:ind w:left="0" w:firstLine="0" w:firstLineChars="0"/>
              <w:jc w:val="center"/>
              <w:textAlignment w:val="auto"/>
              <w:rPr>
                <w:rFonts w:hint="eastAsia" w:ascii="黑体" w:hAnsi="黑体" w:eastAsia="黑体" w:cs="黑体"/>
                <w:sz w:val="24"/>
                <w:szCs w:val="24"/>
              </w:rPr>
            </w:pPr>
            <w:r>
              <w:rPr>
                <w:rFonts w:hint="eastAsia" w:ascii="黑体" w:hAnsi="黑体" w:eastAsia="黑体" w:cs="黑体"/>
                <w:spacing w:val="7"/>
                <w:sz w:val="24"/>
                <w:szCs w:val="24"/>
              </w:rPr>
              <w:t>利津县</w:t>
            </w:r>
          </w:p>
        </w:tc>
        <w:tc>
          <w:tcPr>
            <w:tcW w:w="17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190" w:lineRule="auto"/>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pacing w:val="-1"/>
                <w:sz w:val="24"/>
                <w:szCs w:val="24"/>
              </w:rPr>
              <w:t>隋川川</w:t>
            </w:r>
          </w:p>
        </w:tc>
        <w:tc>
          <w:tcPr>
            <w:tcW w:w="1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162"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1586546225</w:t>
            </w:r>
            <w:r>
              <w:rPr>
                <w:rFonts w:hint="eastAsia" w:ascii="宋体" w:hAnsi="宋体" w:eastAsia="宋体" w:cs="宋体"/>
                <w:sz w:val="24"/>
                <w:szCs w:val="24"/>
              </w:rPr>
              <w:t>3</w:t>
            </w:r>
          </w:p>
        </w:tc>
      </w:tr>
    </w:tbl>
    <w:p>
      <w:pPr>
        <w:pStyle w:val="2"/>
        <w:rPr>
          <w:rFonts w:hint="eastAsia"/>
          <w:lang w:eastAsia="zh-CN"/>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59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eastAsia="zh-CN"/>
        </w:rPr>
      </w:pPr>
    </w:p>
    <w:p>
      <w:pPr>
        <w:keepNext w:val="0"/>
        <w:keepLines w:val="0"/>
        <w:pageBreakBefore w:val="0"/>
        <w:kinsoku/>
        <w:wordWrap/>
        <w:overflowPunct/>
        <w:topLinePunct w:val="0"/>
        <w:autoSpaceDE/>
        <w:autoSpaceDN/>
        <w:bidi w:val="0"/>
        <w:adjustRightInd/>
        <w:snapToGrid/>
        <w:spacing w:line="59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eastAsia="zh-CN"/>
        </w:rPr>
      </w:pPr>
      <w:bookmarkStart w:id="8" w:name="_Toc13691"/>
      <w:r>
        <w:rPr>
          <w:rFonts w:hint="eastAsia" w:ascii="方正小标宋简体" w:hAnsi="方正小标宋简体" w:eastAsia="方正小标宋简体" w:cs="方正小标宋简体"/>
          <w:b w:val="0"/>
          <w:bCs w:val="0"/>
          <w:sz w:val="36"/>
          <w:szCs w:val="36"/>
          <w:lang w:eastAsia="zh-CN"/>
        </w:rPr>
        <w:t>加强新市民金融服务</w:t>
      </w:r>
      <w:bookmarkEnd w:id="8"/>
    </w:p>
    <w:p>
      <w:pPr>
        <w:keepNext w:val="0"/>
        <w:keepLines w:val="0"/>
        <w:pageBreakBefore w:val="0"/>
        <w:kinsoku/>
        <w:wordWrap/>
        <w:overflowPunct/>
        <w:topLinePunct w:val="0"/>
        <w:autoSpaceDE/>
        <w:autoSpaceDN/>
        <w:bidi w:val="0"/>
        <w:adjustRightInd/>
        <w:snapToGrid/>
        <w:spacing w:line="590" w:lineRule="exact"/>
        <w:ind w:right="0" w:rightChars="0"/>
        <w:textAlignment w:val="auto"/>
        <w:rPr>
          <w:rFonts w:hint="eastAsia" w:ascii="仿宋_GB2312" w:hAnsi="仿宋_GB2312" w:eastAsia="仿宋_GB2312" w:cs="仿宋_GB2312"/>
          <w:sz w:val="32"/>
          <w:szCs w:val="32"/>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color w:val="auto"/>
          <w:kern w:val="2"/>
          <w:sz w:val="32"/>
          <w:szCs w:val="32"/>
          <w:lang w:val="en-US" w:eastAsia="zh-CN" w:bidi="ar-SA"/>
        </w:rPr>
        <w:t>一、服务对象和范围</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满足新市民群体在创业就业、住房安居、教育培训、健康保险、养老保障、基础服务等领域的金融服务需求。</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3" w:firstLineChars="200"/>
        <w:textAlignment w:val="auto"/>
        <w:rPr>
          <w:rFonts w:hint="eastAsia" w:ascii="仿宋_GB2312" w:hAnsi="仿宋_GB2312" w:eastAsia="仿宋_GB2312" w:cs="仿宋_GB2312"/>
          <w:color w:val="auto"/>
          <w:kern w:val="0"/>
          <w:sz w:val="32"/>
          <w:szCs w:val="32"/>
          <w:highlight w:val="none"/>
          <w:lang w:eastAsia="zh-CN" w:bidi="ar"/>
        </w:rPr>
      </w:pPr>
      <w:r>
        <w:rPr>
          <w:rFonts w:hint="eastAsia" w:ascii="仿宋_GB2312" w:hAnsi="仿宋_GB2312" w:eastAsia="仿宋_GB2312" w:cs="仿宋_GB2312"/>
          <w:b/>
          <w:bCs/>
          <w:color w:val="auto"/>
          <w:kern w:val="0"/>
          <w:sz w:val="32"/>
          <w:szCs w:val="32"/>
          <w:highlight w:val="none"/>
          <w:lang w:val="en-US" w:eastAsia="zh-CN" w:bidi="ar"/>
        </w:rPr>
        <w:t>概念解释</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eastAsia="zh-CN" w:bidi="ar"/>
        </w:rPr>
        <w:t>新市民指因本人创业就业、子女上学、投靠子女等原因来到城镇常住，未获得当地户籍或获得当地户籍不满三年的各类群体的统称，包括但不限于进城务工人员、新就业大中专毕业生等。</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二、政策名称或政策依据</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eastAsia="zh-CN" w:bidi="ar"/>
        </w:rPr>
      </w:pPr>
      <w:r>
        <w:rPr>
          <w:rFonts w:hint="eastAsia" w:ascii="仿宋_GB2312" w:hAnsi="仿宋_GB2312" w:eastAsia="仿宋_GB2312" w:cs="仿宋_GB2312"/>
          <w:color w:val="auto"/>
          <w:kern w:val="0"/>
          <w:sz w:val="32"/>
          <w:szCs w:val="32"/>
          <w:highlight w:val="none"/>
          <w:lang w:val="en-US" w:eastAsia="zh-CN" w:bidi="ar"/>
        </w:rPr>
        <w:t>1.《中国银保监会 中国人民银行关于加强新市民金融服务工作的通知》（银保监发〔2022〕4号）。</w:t>
      </w:r>
    </w:p>
    <w:p>
      <w:pPr>
        <w:keepNext w:val="0"/>
        <w:keepLines w:val="0"/>
        <w:pageBreakBefore w:val="0"/>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山东银保监局等</w:t>
      </w:r>
      <w:r>
        <w:rPr>
          <w:rFonts w:hint="eastAsia" w:ascii="仿宋_GB2312" w:hAnsi="仿宋_GB2312" w:eastAsia="仿宋_GB2312" w:cs="仿宋_GB2312"/>
          <w:sz w:val="32"/>
          <w:szCs w:val="32"/>
          <w:lang w:val="en-US" w:eastAsia="zh-CN"/>
        </w:rPr>
        <w:t>12部门《</w:t>
      </w:r>
      <w:r>
        <w:rPr>
          <w:rFonts w:hint="eastAsia" w:ascii="仿宋_GB2312" w:hAnsi="仿宋_GB2312" w:eastAsia="仿宋_GB2312" w:cs="仿宋_GB2312"/>
          <w:sz w:val="32"/>
          <w:szCs w:val="32"/>
          <w:lang w:eastAsia="zh-CN"/>
        </w:rPr>
        <w:t>关于印发</w:t>
      </w:r>
      <w:r>
        <w:rPr>
          <w:rFonts w:hint="eastAsia" w:ascii="仿宋_GB2312" w:hAnsi="仿宋_GB2312" w:eastAsia="仿宋_GB2312" w:cs="仿宋_GB2312"/>
          <w:sz w:val="32"/>
          <w:szCs w:val="32"/>
          <w:lang w:val="en-US" w:eastAsia="zh-CN"/>
        </w:rPr>
        <w:t>&lt;</w:t>
      </w:r>
      <w:r>
        <w:rPr>
          <w:rFonts w:hint="eastAsia" w:ascii="仿宋_GB2312" w:hAnsi="仿宋_GB2312" w:eastAsia="仿宋_GB2312" w:cs="仿宋_GB2312"/>
          <w:sz w:val="32"/>
          <w:szCs w:val="32"/>
          <w:lang w:eastAsia="zh-CN"/>
        </w:rPr>
        <w:t>关于加强新市民金融服务的工作方案</w:t>
      </w:r>
      <w:r>
        <w:rPr>
          <w:rFonts w:hint="eastAsia" w:ascii="仿宋_GB2312" w:hAnsi="仿宋_GB2312" w:eastAsia="仿宋_GB2312" w:cs="仿宋_GB2312"/>
          <w:sz w:val="32"/>
          <w:szCs w:val="32"/>
          <w:lang w:val="en-US" w:eastAsia="zh-CN"/>
        </w:rPr>
        <w:t>&gt;</w:t>
      </w:r>
      <w:r>
        <w:rPr>
          <w:rFonts w:hint="eastAsia" w:ascii="仿宋_GB2312" w:hAnsi="仿宋_GB2312" w:eastAsia="仿宋_GB2312" w:cs="仿宋_GB2312"/>
          <w:sz w:val="32"/>
          <w:szCs w:val="32"/>
          <w:lang w:eastAsia="zh-CN"/>
        </w:rPr>
        <w:t>的通知》（鲁银保监发〔2022〕9号）。</w:t>
      </w:r>
    </w:p>
    <w:p>
      <w:pPr>
        <w:keepNext w:val="0"/>
        <w:keepLines w:val="0"/>
        <w:pageBreakBefore w:val="0"/>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东营银保监分局等</w:t>
      </w:r>
      <w:r>
        <w:rPr>
          <w:rFonts w:hint="eastAsia" w:ascii="仿宋_GB2312" w:hAnsi="仿宋_GB2312" w:eastAsia="仿宋_GB2312" w:cs="仿宋_GB2312"/>
          <w:sz w:val="32"/>
          <w:szCs w:val="32"/>
          <w:lang w:val="en-US" w:eastAsia="zh-CN"/>
        </w:rPr>
        <w:t>15部门《</w:t>
      </w:r>
      <w:r>
        <w:rPr>
          <w:rFonts w:hint="eastAsia" w:ascii="仿宋_GB2312" w:hAnsi="仿宋_GB2312" w:eastAsia="仿宋_GB2312" w:cs="仿宋_GB2312"/>
          <w:sz w:val="32"/>
          <w:szCs w:val="32"/>
          <w:lang w:eastAsia="zh-CN"/>
        </w:rPr>
        <w:t>关于印发</w:t>
      </w:r>
      <w:r>
        <w:rPr>
          <w:rFonts w:hint="eastAsia" w:ascii="仿宋_GB2312" w:hAnsi="仿宋_GB2312" w:eastAsia="仿宋_GB2312" w:cs="仿宋_GB2312"/>
          <w:sz w:val="32"/>
          <w:szCs w:val="32"/>
          <w:lang w:val="en-US" w:eastAsia="zh-CN"/>
        </w:rPr>
        <w:t>&lt;</w:t>
      </w:r>
      <w:r>
        <w:rPr>
          <w:rFonts w:hint="eastAsia" w:ascii="仿宋_GB2312" w:hAnsi="仿宋_GB2312" w:eastAsia="仿宋_GB2312" w:cs="仿宋_GB2312"/>
          <w:sz w:val="32"/>
          <w:szCs w:val="32"/>
          <w:lang w:eastAsia="zh-CN"/>
        </w:rPr>
        <w:t>东营市关于加强新市民金融服务工作方案</w:t>
      </w:r>
      <w:r>
        <w:rPr>
          <w:rFonts w:hint="eastAsia" w:ascii="仿宋_GB2312" w:hAnsi="仿宋_GB2312" w:eastAsia="仿宋_GB2312" w:cs="仿宋_GB2312"/>
          <w:sz w:val="32"/>
          <w:szCs w:val="32"/>
          <w:lang w:val="en-US" w:eastAsia="zh-CN"/>
        </w:rPr>
        <w:t>&gt;</w:t>
      </w:r>
      <w:r>
        <w:rPr>
          <w:rFonts w:hint="eastAsia" w:ascii="仿宋_GB2312" w:hAnsi="仿宋_GB2312" w:eastAsia="仿宋_GB2312" w:cs="仿宋_GB2312"/>
          <w:sz w:val="32"/>
          <w:szCs w:val="32"/>
          <w:lang w:eastAsia="zh-CN"/>
        </w:rPr>
        <w:t>的通知》（东银保监发〔2022〕</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lang w:eastAsia="zh-CN"/>
        </w:rPr>
        <w:t>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三、政策措施内容及标准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银行保险机构要针对新市民在创业、就业、住房、教育、医疗、养老等重点领域的金融需求，按照市场化法治化原则，加强产品和服务创新，完善金融服务，高质量扩大金融供给，提升金融服务的均等性和便利度。</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推动金融政策与财政、就业、住房、社保等新市民支持政策的有效衔接，银行保险机构加强与政府部门合作，在新市民社保缴存和发放、住房公积金缴存和使用、农民工工资发放、医疗保险缴存和结算等方面建立合作机制，用好普惠小微贷款支持工具以及普惠性再贷款、再贴现等政策，有效满足新市民金融需求。</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四、申报办理流程</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东营银保监分局组织辖区银行保险机构对“新市民”专属特色金融产品及其他适用的金融产品进行梳理，形成了东营市“新市民”金融产品汇编，并通过黄三角早报微信公众好等进行公开。扫描二维码可了解各银行保险机构产品特点、办理方式、服务网点及电话等。</w:t>
      </w:r>
    </w:p>
    <w:p>
      <w:pPr>
        <w:keepNext w:val="0"/>
        <w:keepLines w:val="0"/>
        <w:pageBreakBefore w:val="0"/>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也可直接与相关银行机构、保险公司网点咨询办理或手机银行渠道直接查询办理。</w:t>
      </w:r>
    </w:p>
    <w:p>
      <w:pPr>
        <w:pStyle w:val="2"/>
        <w:pageBreakBefore w:val="0"/>
        <w:kinsoku/>
        <w:wordWrap/>
        <w:overflowPunct/>
        <w:topLinePunct w:val="0"/>
        <w:bidi w:val="0"/>
        <w:spacing w:line="590" w:lineRule="exact"/>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line="4200" w:lineRule="exact"/>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2152015" cy="2152015"/>
            <wp:effectExtent l="0" t="0" r="12065" b="1206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5"/>
                    <a:stretch>
                      <a:fillRect/>
                    </a:stretch>
                  </pic:blipFill>
                  <pic:spPr>
                    <a:xfrm>
                      <a:off x="0" y="0"/>
                      <a:ext cx="2152015" cy="2152015"/>
                    </a:xfrm>
                    <a:prstGeom prst="rect">
                      <a:avLst/>
                    </a:prstGeom>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2152015" cy="2152015"/>
            <wp:effectExtent l="0" t="0" r="12065" b="1206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16"/>
                    <a:stretch>
                      <a:fillRect/>
                    </a:stretch>
                  </pic:blipFill>
                  <pic:spPr>
                    <a:xfrm>
                      <a:off x="0" y="0"/>
                      <a:ext cx="2152015" cy="2152015"/>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2142490" cy="2142490"/>
            <wp:effectExtent l="0" t="0" r="6350" b="635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17"/>
                    <a:stretch>
                      <a:fillRect/>
                    </a:stretch>
                  </pic:blipFill>
                  <pic:spPr>
                    <a:xfrm>
                      <a:off x="0" y="0"/>
                      <a:ext cx="2142490" cy="2142490"/>
                    </a:xfrm>
                    <a:prstGeom prst="rect">
                      <a:avLst/>
                    </a:prstGeom>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2150110" cy="2150110"/>
            <wp:effectExtent l="0" t="0" r="13970" b="13970"/>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18"/>
                    <a:stretch>
                      <a:fillRect/>
                    </a:stretch>
                  </pic:blipFill>
                  <pic:spPr>
                    <a:xfrm>
                      <a:off x="0" y="0"/>
                      <a:ext cx="2150110" cy="2150110"/>
                    </a:xfrm>
                    <a:prstGeom prst="rect">
                      <a:avLst/>
                    </a:prstGeom>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2244090" cy="2244090"/>
            <wp:effectExtent l="0" t="0" r="11430" b="11430"/>
            <wp:docPr id="2" name="图片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
                    <pic:cNvPicPr>
                      <a:picLocks noChangeAspect="1"/>
                    </pic:cNvPicPr>
                  </pic:nvPicPr>
                  <pic:blipFill>
                    <a:blip r:embed="rId19"/>
                    <a:stretch>
                      <a:fillRect/>
                    </a:stretch>
                  </pic:blipFill>
                  <pic:spPr>
                    <a:xfrm>
                      <a:off x="0" y="0"/>
                      <a:ext cx="2244090" cy="2244090"/>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2185670" cy="2185670"/>
            <wp:effectExtent l="0" t="0" r="8890" b="8890"/>
            <wp:docPr id="1"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
                    <pic:cNvPicPr>
                      <a:picLocks noChangeAspect="1"/>
                    </pic:cNvPicPr>
                  </pic:nvPicPr>
                  <pic:blipFill>
                    <a:blip r:embed="rId20"/>
                    <a:stretch>
                      <a:fillRect/>
                    </a:stretch>
                  </pic:blipFill>
                  <pic:spPr>
                    <a:xfrm>
                      <a:off x="0" y="0"/>
                      <a:ext cx="2185670" cy="218567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outlineLvl w:val="9"/>
        <w:rPr>
          <w:rFonts w:hint="eastAsia" w:ascii="CESI楷体-GB2312" w:hAnsi="CESI楷体-GB2312" w:eastAsia="CESI楷体-GB2312" w:cs="CESI楷体-GB2312"/>
          <w:color w:val="auto"/>
          <w:kern w:val="2"/>
          <w:sz w:val="32"/>
          <w:szCs w:val="32"/>
          <w:lang w:val="en-US" w:eastAsia="zh-CN" w:bidi="ar-SA"/>
        </w:rPr>
      </w:pPr>
      <w:r>
        <w:rPr>
          <w:rFonts w:hint="eastAsia" w:ascii="CESI楷体-GB2312" w:hAnsi="CESI楷体-GB2312" w:eastAsia="CESI楷体-GB2312" w:cs="CESI楷体-GB2312"/>
          <w:color w:val="auto"/>
          <w:kern w:val="2"/>
          <w:sz w:val="32"/>
          <w:szCs w:val="32"/>
          <w:lang w:val="en-US" w:eastAsia="zh-CN" w:bidi="ar-SA"/>
        </w:rPr>
        <w:t>主办单位：东营银保监分局  联系电话：7769577</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outlineLvl w:val="9"/>
        <w:rPr>
          <w:rFonts w:hint="eastAsia" w:ascii="CESI楷体-GB2312" w:hAnsi="CESI楷体-GB2312" w:eastAsia="CESI楷体-GB2312" w:cs="CESI楷体-GB2312"/>
          <w:color w:val="auto"/>
          <w:kern w:val="2"/>
          <w:sz w:val="32"/>
          <w:szCs w:val="3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720" w:firstLineChars="200"/>
        <w:jc w:val="center"/>
        <w:textAlignment w:val="auto"/>
        <w:rPr>
          <w:rFonts w:hint="eastAsia" w:ascii="方正小标宋简体" w:hAnsi="方正小标宋简体" w:eastAsia="方正小标宋简体" w:cs="方正小标宋简体"/>
          <w:b w:val="0"/>
          <w:bCs w:val="0"/>
          <w:sz w:val="36"/>
          <w:szCs w:val="36"/>
          <w:highlight w:val="none"/>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宋体" w:hAnsi="宋体" w:cs="宋体"/>
          <w:b/>
          <w:bCs/>
          <w:sz w:val="32"/>
          <w:szCs w:val="32"/>
          <w:highlight w:val="none"/>
        </w:rPr>
      </w:pPr>
      <w:bookmarkStart w:id="9" w:name="_Toc32648"/>
      <w:r>
        <w:rPr>
          <w:rFonts w:hint="eastAsia" w:ascii="方正小标宋简体" w:hAnsi="方正小标宋简体" w:eastAsia="方正小标宋简体" w:cs="方正小标宋简体"/>
          <w:b w:val="0"/>
          <w:bCs w:val="0"/>
          <w:sz w:val="36"/>
          <w:szCs w:val="36"/>
          <w:highlight w:val="none"/>
        </w:rPr>
        <w:t>“积金惠企”专项活动</w:t>
      </w:r>
      <w:bookmarkEnd w:id="9"/>
    </w:p>
    <w:p>
      <w:pPr>
        <w:pStyle w:val="2"/>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sz w:val="32"/>
          <w:szCs w:val="32"/>
          <w:highlight w:val="none"/>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ascii="CESI仿宋-GB2312" w:hAnsi="CESI仿宋-GB2312" w:eastAsia="CESI仿宋-GB2312" w:cs="CESI仿宋-GB2312"/>
          <w:sz w:val="32"/>
          <w:szCs w:val="32"/>
        </w:rPr>
      </w:pPr>
      <w:r>
        <w:rPr>
          <w:rFonts w:hint="eastAsia" w:ascii="Times New Roman" w:hAnsi="Times New Roman" w:eastAsia="黑体"/>
          <w:sz w:val="32"/>
          <w:szCs w:val="32"/>
        </w:rPr>
        <w:t>一、服务对象和范围</w:t>
      </w:r>
    </w:p>
    <w:p>
      <w:pPr>
        <w:keepNext w:val="0"/>
        <w:keepLines w:val="0"/>
        <w:pageBreakBefore w:val="0"/>
        <w:kinsoku/>
        <w:wordWrap/>
        <w:overflowPunct/>
        <w:topLinePunct w:val="0"/>
        <w:autoSpaceDE/>
        <w:autoSpaceDN/>
        <w:bidi w:val="0"/>
        <w:adjustRightInd/>
        <w:snapToGrid/>
        <w:spacing w:line="590" w:lineRule="exact"/>
        <w:ind w:firstLine="640"/>
        <w:jc w:val="left"/>
        <w:textAlignment w:val="auto"/>
        <w:rPr>
          <w:rFonts w:hint="eastAsia" w:ascii="CESI仿宋-GB2312" w:hAnsi="CESI仿宋-GB2312" w:eastAsia="仿宋_GB2312" w:cs="CESI仿宋-GB2312"/>
          <w:sz w:val="32"/>
          <w:szCs w:val="32"/>
          <w:lang w:eastAsia="zh-CN"/>
        </w:rPr>
      </w:pPr>
      <w:r>
        <w:rPr>
          <w:rFonts w:hint="eastAsia" w:ascii="仿宋_GB2312" w:hAnsi="楷体" w:eastAsia="仿宋_GB2312"/>
          <w:sz w:val="32"/>
          <w:szCs w:val="32"/>
        </w:rPr>
        <w:t>缴存</w:t>
      </w:r>
      <w:r>
        <w:rPr>
          <w:rFonts w:ascii="仿宋_GB2312" w:hAnsi="楷体" w:eastAsia="仿宋_GB2312"/>
          <w:sz w:val="32"/>
          <w:szCs w:val="32"/>
        </w:rPr>
        <w:t>住房公积金的</w:t>
      </w:r>
      <w:r>
        <w:rPr>
          <w:rFonts w:hint="eastAsia" w:ascii="仿宋_GB2312" w:hAnsi="楷体" w:eastAsia="仿宋_GB2312"/>
          <w:sz w:val="32"/>
          <w:szCs w:val="32"/>
        </w:rPr>
        <w:t>中小微企业</w:t>
      </w:r>
      <w:r>
        <w:rPr>
          <w:rFonts w:hint="eastAsia" w:ascii="仿宋_GB2312" w:hAnsi="楷体" w:eastAsia="仿宋_GB2312"/>
          <w:sz w:val="32"/>
          <w:szCs w:val="32"/>
          <w:lang w:eastAsia="zh-CN"/>
        </w:rPr>
        <w:t>及</w:t>
      </w:r>
      <w:r>
        <w:rPr>
          <w:rFonts w:hint="eastAsia" w:ascii="仿宋_GB2312" w:hAnsi="楷体" w:eastAsia="仿宋_GB2312"/>
          <w:sz w:val="32"/>
          <w:szCs w:val="32"/>
        </w:rPr>
        <w:t>住房公积金</w:t>
      </w:r>
      <w:r>
        <w:rPr>
          <w:rFonts w:ascii="仿宋_GB2312" w:hAnsi="楷体" w:eastAsia="仿宋_GB2312"/>
          <w:sz w:val="32"/>
          <w:szCs w:val="32"/>
        </w:rPr>
        <w:t>缴存</w:t>
      </w:r>
      <w:r>
        <w:rPr>
          <w:rFonts w:hint="eastAsia" w:ascii="仿宋_GB2312" w:hAnsi="楷体" w:eastAsia="仿宋_GB2312"/>
          <w:sz w:val="32"/>
          <w:szCs w:val="32"/>
        </w:rPr>
        <w:t>职工</w:t>
      </w:r>
      <w:r>
        <w:rPr>
          <w:rFonts w:hint="eastAsia" w:ascii="仿宋_GB2312" w:hAnsi="楷体" w:eastAsia="仿宋_GB2312"/>
          <w:sz w:val="32"/>
          <w:szCs w:val="32"/>
          <w:lang w:eastAsia="zh-CN"/>
        </w:rPr>
        <w:t>。</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sz w:val="32"/>
          <w:szCs w:val="32"/>
        </w:rPr>
      </w:pPr>
      <w:r>
        <w:rPr>
          <w:rFonts w:hint="eastAsia" w:ascii="Times New Roman" w:hAnsi="Times New Roman" w:eastAsia="黑体"/>
          <w:sz w:val="32"/>
          <w:szCs w:val="32"/>
        </w:rPr>
        <w:t>二、政策名称或政策依据</w:t>
      </w:r>
    </w:p>
    <w:p>
      <w:pPr>
        <w:keepNext w:val="0"/>
        <w:keepLines w:val="0"/>
        <w:pageBreakBefore w:val="0"/>
        <w:kinsoku/>
        <w:wordWrap/>
        <w:overflowPunct/>
        <w:topLinePunct w:val="0"/>
        <w:autoSpaceDE/>
        <w:autoSpaceDN/>
        <w:bidi w:val="0"/>
        <w:adjustRightInd/>
        <w:snapToGrid/>
        <w:spacing w:line="590" w:lineRule="exact"/>
        <w:ind w:firstLine="320" w:firstLineChars="100"/>
        <w:textAlignment w:val="auto"/>
        <w:rPr>
          <w:rFonts w:ascii="仿宋_GB2312" w:hAnsi="楷体" w:eastAsia="仿宋_GB2312"/>
          <w:sz w:val="32"/>
          <w:szCs w:val="32"/>
        </w:rPr>
      </w:pPr>
      <w:r>
        <w:rPr>
          <w:rFonts w:hint="eastAsia"/>
        </w:rPr>
        <w:t xml:space="preserve">  </w:t>
      </w:r>
      <w:r>
        <w:rPr>
          <w:rFonts w:ascii="仿宋_GB2312" w:hAnsi="楷体" w:eastAsia="仿宋_GB2312"/>
          <w:sz w:val="32"/>
          <w:szCs w:val="32"/>
        </w:rPr>
        <w:t>2021</w:t>
      </w:r>
      <w:r>
        <w:rPr>
          <w:rFonts w:hint="eastAsia" w:ascii="仿宋_GB2312" w:hAnsi="楷体" w:eastAsia="仿宋_GB2312"/>
          <w:sz w:val="32"/>
          <w:szCs w:val="32"/>
        </w:rPr>
        <w:t>年9月23日</w:t>
      </w:r>
      <w:r>
        <w:rPr>
          <w:rFonts w:ascii="仿宋_GB2312" w:hAnsi="楷体" w:eastAsia="仿宋_GB2312"/>
          <w:sz w:val="32"/>
          <w:szCs w:val="32"/>
        </w:rPr>
        <w:t>，</w:t>
      </w:r>
      <w:r>
        <w:rPr>
          <w:rFonts w:hint="eastAsia" w:ascii="仿宋_GB2312" w:hAnsi="楷体" w:eastAsia="仿宋_GB2312"/>
          <w:sz w:val="32"/>
          <w:szCs w:val="32"/>
        </w:rPr>
        <w:t>市地方金融监管局会同市住房公积金管理中心出台了《关于开展“积金惠企”专项活动的通知》（东</w:t>
      </w:r>
      <w:r>
        <w:rPr>
          <w:rFonts w:ascii="仿宋_GB2312" w:hAnsi="楷体" w:eastAsia="仿宋_GB2312"/>
          <w:sz w:val="32"/>
          <w:szCs w:val="32"/>
        </w:rPr>
        <w:t>金监</w:t>
      </w:r>
      <w:r>
        <w:rPr>
          <w:rFonts w:hint="eastAsia" w:ascii="仿宋_GB2312" w:hAnsi="楷体" w:eastAsia="仿宋_GB2312"/>
          <w:sz w:val="32"/>
          <w:szCs w:val="32"/>
        </w:rPr>
        <w:t>字〔2021〕54号）。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ascii="Times New Roman" w:hAnsi="Times New Roman" w:eastAsia="黑体"/>
          <w:sz w:val="32"/>
          <w:szCs w:val="32"/>
        </w:rPr>
      </w:pPr>
      <w:r>
        <w:rPr>
          <w:rFonts w:hint="eastAsia" w:ascii="Times New Roman" w:hAnsi="Times New Roman" w:eastAsia="黑体"/>
          <w:sz w:val="32"/>
          <w:szCs w:val="32"/>
        </w:rPr>
        <w:t>三、政策措施内容</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仿宋_GB2312" w:eastAsia="仿宋_GB2312"/>
          <w:sz w:val="32"/>
          <w:szCs w:val="32"/>
        </w:rPr>
      </w:pPr>
      <w:r>
        <w:rPr>
          <w:rFonts w:hint="eastAsia" w:ascii="仿宋_GB2312" w:hAnsi="楷体" w:eastAsia="仿宋_GB2312"/>
          <w:sz w:val="32"/>
          <w:szCs w:val="32"/>
        </w:rPr>
        <w:t>住房</w:t>
      </w:r>
      <w:r>
        <w:rPr>
          <w:rFonts w:ascii="仿宋_GB2312" w:hAnsi="楷体" w:eastAsia="仿宋_GB2312"/>
          <w:sz w:val="32"/>
          <w:szCs w:val="32"/>
        </w:rPr>
        <w:t>公积金</w:t>
      </w:r>
      <w:r>
        <w:rPr>
          <w:rFonts w:hint="eastAsia" w:ascii="仿宋_GB2312" w:hAnsi="楷体" w:eastAsia="仿宋_GB2312"/>
          <w:sz w:val="32"/>
          <w:szCs w:val="32"/>
        </w:rPr>
        <w:t>业务受托银行根据自身产品研发条件，着眼于全市中小微企业及其职工融资需求状况，依托缴存企业和职工住房公积金信息，创新金融产品，简化业务流程，增强金融服务的针对性和时效性；针对住房</w:t>
      </w:r>
      <w:r>
        <w:rPr>
          <w:rFonts w:hint="eastAsia" w:ascii="仿宋_GB2312" w:eastAsia="仿宋_GB2312"/>
          <w:sz w:val="32"/>
          <w:szCs w:val="32"/>
        </w:rPr>
        <w:t>公积金缴存企业量身定制“积金惠企”快捷信贷相关产品，提升企业融资可获得性，优化企业融资结构，增强企业资金流动性；</w:t>
      </w:r>
      <w:r>
        <w:rPr>
          <w:rFonts w:hint="eastAsia" w:ascii="仿宋_GB2312" w:hAnsi="楷体" w:eastAsia="仿宋_GB2312"/>
          <w:sz w:val="32"/>
          <w:szCs w:val="32"/>
        </w:rPr>
        <w:t>针对住房</w:t>
      </w:r>
      <w:r>
        <w:rPr>
          <w:rFonts w:hint="eastAsia" w:ascii="仿宋_GB2312" w:eastAsia="仿宋_GB2312"/>
          <w:sz w:val="32"/>
          <w:szCs w:val="32"/>
        </w:rPr>
        <w:t>公积金缴存职工创新推出积金消费信贷相关产品，满足缴存职工个性化融资需求。</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仿宋_GB2312" w:hAnsi="楷体" w:eastAsia="仿宋_GB2312"/>
          <w:sz w:val="32"/>
          <w:szCs w:val="32"/>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eastAsia" w:ascii="CESI楷体-GB2312" w:hAnsi="CESI楷体-GB2312" w:eastAsia="CESI楷体-GB2312" w:cs="CESI楷体-GB2312"/>
          <w:kern w:val="2"/>
          <w:sz w:val="32"/>
          <w:szCs w:val="32"/>
          <w:lang w:val="en-US" w:eastAsia="zh-CN" w:bidi="ar-SA"/>
        </w:rPr>
      </w:pPr>
      <w:r>
        <w:rPr>
          <w:rFonts w:hint="eastAsia" w:ascii="CESI楷体-GB2312" w:hAnsi="CESI楷体-GB2312" w:eastAsia="CESI楷体-GB2312" w:cs="CESI楷体-GB2312"/>
          <w:kern w:val="2"/>
          <w:sz w:val="32"/>
          <w:szCs w:val="32"/>
          <w:lang w:val="en-US" w:eastAsia="zh-CN" w:bidi="ar-SA"/>
        </w:rPr>
        <w:t>主办单位： 市住房公积金管理中心 联系电话：8332291</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仿宋_GB2312" w:hAnsi="楷体" w:eastAsia="仿宋_GB2312"/>
          <w:sz w:val="32"/>
          <w:szCs w:val="32"/>
        </w:rPr>
      </w:pPr>
    </w:p>
    <w:p>
      <w:pPr>
        <w:keepNext w:val="0"/>
        <w:keepLines w:val="0"/>
        <w:pageBreakBefore w:val="0"/>
        <w:widowControl/>
        <w:kinsoku/>
        <w:wordWrap/>
        <w:overflowPunct/>
        <w:topLinePunct w:val="0"/>
        <w:autoSpaceDE/>
        <w:autoSpaceDN/>
        <w:bidi w:val="0"/>
        <w:adjustRightInd/>
        <w:snapToGrid/>
        <w:spacing w:line="590" w:lineRule="exact"/>
        <w:jc w:val="left"/>
        <w:textAlignment w:val="auto"/>
        <w:rPr>
          <w:rFonts w:ascii="Times New Roman" w:hAnsi="Times New Roman" w:cs="Times New Roman"/>
          <w:szCs w:val="32"/>
        </w:rPr>
      </w:pPr>
    </w:p>
    <w:p>
      <w:pPr>
        <w:keepNext w:val="0"/>
        <w:keepLines w:val="0"/>
        <w:pageBreakBefore w:val="0"/>
        <w:widowControl/>
        <w:kinsoku/>
        <w:wordWrap/>
        <w:overflowPunct/>
        <w:topLinePunct w:val="0"/>
        <w:autoSpaceDE/>
        <w:autoSpaceDN/>
        <w:bidi w:val="0"/>
        <w:adjustRightInd/>
        <w:snapToGrid/>
        <w:spacing w:line="590" w:lineRule="exact"/>
        <w:ind w:firstLine="0" w:firstLineChars="0"/>
        <w:jc w:val="left"/>
        <w:textAlignment w:val="auto"/>
        <w:rPr>
          <w:rFonts w:ascii="Times New Roman" w:hAnsi="Times New Roman" w:eastAsia="方正小标宋简体" w:cs="Times New Roman"/>
          <w:sz w:val="36"/>
          <w:szCs w:val="36"/>
        </w:rPr>
      </w:pPr>
      <w:r>
        <w:rPr>
          <w:rFonts w:ascii="Times New Roman" w:hAnsi="Times New Roman" w:eastAsia="方正小标宋简体" w:cs="Times New Roman"/>
          <w:b/>
          <w:bCs/>
          <w:sz w:val="36"/>
          <w:szCs w:val="36"/>
        </w:rPr>
        <w:br w:type="page"/>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color w:val="auto"/>
          <w:kern w:val="2"/>
          <w:sz w:val="36"/>
          <w:szCs w:val="36"/>
          <w:highlight w:val="none"/>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color w:val="auto"/>
          <w:kern w:val="2"/>
          <w:sz w:val="36"/>
          <w:szCs w:val="36"/>
          <w:highlight w:val="none"/>
          <w:lang w:val="en-US" w:eastAsia="zh-CN" w:bidi="ar-SA"/>
        </w:rPr>
      </w:pPr>
      <w:bookmarkStart w:id="10" w:name="_Toc18290"/>
      <w:r>
        <w:rPr>
          <w:rFonts w:hint="eastAsia" w:ascii="方正小标宋简体" w:hAnsi="方正小标宋简体" w:eastAsia="方正小标宋简体" w:cs="方正小标宋简体"/>
          <w:color w:val="auto"/>
          <w:kern w:val="2"/>
          <w:sz w:val="36"/>
          <w:szCs w:val="36"/>
          <w:highlight w:val="none"/>
          <w:lang w:val="en-US" w:eastAsia="zh-CN" w:bidi="ar-SA"/>
        </w:rPr>
        <w:t>市级应急转贷政策</w:t>
      </w:r>
      <w:bookmarkEnd w:id="10"/>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CESI仿宋-GB2312" w:hAnsi="CESI仿宋-GB2312" w:eastAsia="CESI仿宋-GB2312" w:cs="CESI仿宋-GB2312"/>
          <w:sz w:val="32"/>
          <w:szCs w:val="32"/>
          <w:lang w:val="en-US" w:eastAsia="zh-CN"/>
        </w:rPr>
      </w:pPr>
      <w:r>
        <w:rPr>
          <w:rFonts w:hint="eastAsia" w:ascii="Times New Roman" w:hAnsi="Times New Roman" w:eastAsia="黑体" w:cs="Times New Roman"/>
          <w:color w:val="auto"/>
          <w:kern w:val="2"/>
          <w:sz w:val="32"/>
          <w:szCs w:val="32"/>
          <w:lang w:val="en-US" w:eastAsia="zh-CN" w:bidi="ar-SA"/>
        </w:rPr>
        <w:t>一、服务对象和范围</w:t>
      </w:r>
    </w:p>
    <w:p>
      <w:pPr>
        <w:keepNext w:val="0"/>
        <w:keepLines w:val="0"/>
        <w:pageBreakBefore w:val="0"/>
        <w:kinsoku/>
        <w:wordWrap/>
        <w:overflowPunct/>
        <w:topLinePunct w:val="0"/>
        <w:autoSpaceDE/>
        <w:autoSpaceDN/>
        <w:bidi w:val="0"/>
        <w:adjustRightInd/>
        <w:snapToGrid/>
        <w:spacing w:line="590" w:lineRule="exact"/>
        <w:ind w:left="0" w:leftChars="0" w:firstLine="640" w:firstLineChars="200"/>
        <w:textAlignment w:val="auto"/>
        <w:rPr>
          <w:rFonts w:hint="eastAsia" w:ascii="仿宋_GB2312" w:hAnsi="楷体" w:eastAsia="仿宋_GB2312"/>
          <w:sz w:val="32"/>
          <w:szCs w:val="32"/>
          <w:lang w:eastAsia="zh-CN"/>
        </w:rPr>
      </w:pPr>
      <w:r>
        <w:rPr>
          <w:rFonts w:hint="eastAsia" w:ascii="仿宋_GB2312" w:hAnsi="楷体" w:eastAsia="仿宋_GB2312"/>
          <w:sz w:val="32"/>
          <w:szCs w:val="32"/>
        </w:rPr>
        <w:t>在我市依法设立、符合国家产业政策、生产经营正常的市级重点调度工业企业，因暂时遇到资金周转困难，银行信贷业务到期无法按时还贷续贷，相关县区、市属开发区确实难以解决</w:t>
      </w:r>
      <w:r>
        <w:rPr>
          <w:rFonts w:hint="eastAsia" w:ascii="仿宋_GB2312" w:hAnsi="楷体" w:eastAsia="仿宋_GB2312"/>
          <w:sz w:val="32"/>
          <w:szCs w:val="32"/>
          <w:lang w:eastAsia="zh-CN"/>
        </w:rPr>
        <w:t>的可申请使用。</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val="en-US" w:eastAsia="zh-CN"/>
        </w:rPr>
        <w:t>二</w:t>
      </w:r>
      <w:r>
        <w:rPr>
          <w:rFonts w:hint="eastAsia" w:ascii="Times New Roman" w:hAnsi="Times New Roman" w:eastAsia="黑体" w:cs="Times New Roman"/>
          <w:sz w:val="32"/>
          <w:szCs w:val="32"/>
          <w:lang w:eastAsia="zh-CN"/>
        </w:rPr>
        <w:t>、</w:t>
      </w:r>
      <w:r>
        <w:rPr>
          <w:rFonts w:hint="eastAsia" w:ascii="Times New Roman" w:hAnsi="Times New Roman" w:eastAsia="黑体" w:cs="Times New Roman"/>
          <w:sz w:val="32"/>
          <w:szCs w:val="32"/>
        </w:rPr>
        <w:t>政策名称</w:t>
      </w:r>
      <w:r>
        <w:rPr>
          <w:rFonts w:hint="eastAsia" w:ascii="Times New Roman" w:hAnsi="Times New Roman" w:eastAsia="黑体" w:cs="Times New Roman"/>
          <w:sz w:val="32"/>
          <w:szCs w:val="32"/>
          <w:lang w:eastAsia="zh-CN"/>
        </w:rPr>
        <w:t>或政策依据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东营市财政局会同东营市地方金融监管局出台《关于延续执行东营市市级企业应急转贷资金政策的通知》。文件有效期自2022年2月25日至2024年2月24日。</w:t>
      </w:r>
    </w:p>
    <w:p>
      <w:pPr>
        <w:keepNext w:val="0"/>
        <w:keepLines w:val="0"/>
        <w:pageBreakBefore w:val="0"/>
        <w:widowControl w:val="0"/>
        <w:numPr>
          <w:ilvl w:val="0"/>
          <w:numId w:val="2"/>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政策措施内容及标准</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由市财政局委托市财金集团按照“分账管理、独立核算、规范使用”的原则，对市级企业应急转贷资金进行管理和业务运作。各县区政府、市属开发区管委会指定所属国有企业作为应急转贷资金业务办理机构，由市财金集团向各县区、市属开发区国有企业提供资金支持，并办理借款手续。</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四、申报办理流程</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（一）企业申请。企业信贷业务到期前1个月，向所在县区政府、市属开发区管委会提出资金使用申请，由县区政府、市属开发区管委会进行审核。</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二）审核程序。对单笔应急转贷资金规模2亿元以下的（含2亿元），县区政府、市属开发区管委会结合企业应急转贷资金需求，填写《市级企业应急转贷资金使用申报表1》，由市财金集团签署意见后，依次报市地方金融监管局、市财政局批准。对单笔应急转贷资金规模2亿元以上的，由县区政府、市属开发区管委会结合企业应急转贷资金需求，填写《市级企业应急转贷资金使用申报表2》，经市财金集团、市地方金融监管局、市财政局依次审核并签署意见后报市政府，由市政府分管金融工作的领导批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（三）办理手续。上述审核流程完成后，由市财金集团与县区、市属开发区国有企业办理应急转贷资金借款手续。</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（四）归还资金。在市级企业应急转贷资金归还当日，县区、市属开发区国有企业应立即将资金全额归还市财金集团。</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eastAsia" w:ascii="仿宋_GB2312" w:hAnsi="楷体" w:eastAsia="仿宋_GB2312" w:cstheme="minorBidi"/>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eastAsia" w:ascii="CESI楷体-GB2312" w:hAnsi="CESI楷体-GB2312" w:eastAsia="CESI楷体-GB2312" w:cs="CESI楷体-GB2312"/>
          <w:kern w:val="2"/>
          <w:sz w:val="32"/>
          <w:szCs w:val="32"/>
          <w:lang w:val="en-US" w:eastAsia="zh-CN" w:bidi="ar-SA"/>
        </w:rPr>
      </w:pPr>
      <w:r>
        <w:rPr>
          <w:rFonts w:hint="eastAsia" w:ascii="CESI楷体-GB2312" w:hAnsi="CESI楷体-GB2312" w:eastAsia="CESI楷体-GB2312" w:cs="CESI楷体-GB2312"/>
          <w:kern w:val="2"/>
          <w:sz w:val="32"/>
          <w:szCs w:val="32"/>
          <w:lang w:val="en-US" w:eastAsia="zh-CN" w:bidi="ar-SA"/>
        </w:rPr>
        <w:t>主办单位：市财政局，联系电话:8334505。</w:t>
      </w:r>
    </w:p>
    <w:p>
      <w:pPr>
        <w:keepNext w:val="0"/>
        <w:keepLines w:val="0"/>
        <w:pageBreakBefore w:val="0"/>
        <w:kinsoku/>
        <w:wordWrap/>
        <w:overflowPunct/>
        <w:topLinePunct w:val="0"/>
        <w:autoSpaceDE/>
        <w:autoSpaceDN/>
        <w:bidi w:val="0"/>
        <w:adjustRightInd/>
        <w:snapToGrid/>
        <w:spacing w:line="590" w:lineRule="exact"/>
        <w:ind w:firstLine="643"/>
        <w:textAlignment w:val="auto"/>
        <w:rPr>
          <w:rFonts w:cs="方正仿宋_GB2312"/>
          <w:b/>
          <w:szCs w:val="32"/>
        </w:rPr>
      </w:pPr>
    </w:p>
    <w:p>
      <w:pPr>
        <w:keepNext w:val="0"/>
        <w:keepLines w:val="0"/>
        <w:pageBreakBefore w:val="0"/>
        <w:kinsoku/>
        <w:wordWrap/>
        <w:overflowPunct/>
        <w:topLinePunct w:val="0"/>
        <w:autoSpaceDE/>
        <w:autoSpaceDN/>
        <w:bidi w:val="0"/>
        <w:adjustRightInd/>
        <w:snapToGrid/>
        <w:spacing w:line="590" w:lineRule="exact"/>
        <w:textAlignment w:val="auto"/>
        <w:rPr>
          <w:rFonts w:ascii="Times New Roman" w:hAnsi="Times New Roman" w:eastAsia="方正小标宋简体" w:cs="Times New Roman"/>
          <w:szCs w:val="44"/>
        </w:rPr>
      </w:pPr>
    </w:p>
    <w:p>
      <w:pPr>
        <w:keepNext w:val="0"/>
        <w:keepLines w:val="0"/>
        <w:pageBreakBefore w:val="0"/>
        <w:kinsoku/>
        <w:wordWrap/>
        <w:overflowPunct/>
        <w:topLinePunct w:val="0"/>
        <w:autoSpaceDE/>
        <w:autoSpaceDN/>
        <w:bidi w:val="0"/>
        <w:adjustRightInd/>
        <w:snapToGrid/>
        <w:spacing w:line="590" w:lineRule="exact"/>
        <w:textAlignment w:val="auto"/>
        <w:rPr>
          <w:szCs w:val="32"/>
        </w:rPr>
      </w:pPr>
      <w:r>
        <w:rPr>
          <w:rFonts w:hint="eastAsia"/>
          <w:szCs w:val="32"/>
        </w:rPr>
        <w:br w:type="page"/>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leftChars="200"/>
        <w:textAlignment w:val="auto"/>
        <w:rPr>
          <w:rFonts w:hint="eastAsia" w:ascii="方正仿宋_GB2312" w:hAnsi="方正仿宋_GB2312" w:eastAsia="方正仿宋_GB2312" w:cs="方正仿宋_GB2312"/>
          <w:color w:val="auto"/>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bookmarkStart w:id="11" w:name="_Toc3059"/>
      <w:r>
        <w:rPr>
          <w:rFonts w:hint="eastAsia" w:ascii="方正小标宋简体" w:hAnsi="方正小标宋简体" w:eastAsia="方正小标宋简体" w:cs="方正小标宋简体"/>
          <w:b w:val="0"/>
          <w:bCs w:val="0"/>
          <w:sz w:val="36"/>
          <w:szCs w:val="36"/>
          <w:lang w:val="en-US" w:eastAsia="zh-CN"/>
        </w:rPr>
        <w:t>“专精特新”中小企业贷款风险补偿政策</w:t>
      </w:r>
      <w:bookmarkEnd w:id="11"/>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CESI仿宋-GB2312" w:hAnsi="CESI仿宋-GB2312" w:eastAsia="CESI仿宋-GB2312" w:cs="CESI仿宋-GB2312"/>
          <w:sz w:val="32"/>
          <w:szCs w:val="32"/>
          <w:lang w:val="en-US" w:eastAsia="zh-CN"/>
        </w:rPr>
      </w:pPr>
      <w:r>
        <w:rPr>
          <w:rFonts w:hint="eastAsia" w:ascii="Times New Roman" w:hAnsi="Times New Roman" w:eastAsia="黑体" w:cs="Times New Roman"/>
          <w:color w:val="auto"/>
          <w:kern w:val="2"/>
          <w:sz w:val="32"/>
          <w:szCs w:val="32"/>
          <w:lang w:val="en-US" w:eastAsia="zh-CN" w:bidi="ar-SA"/>
        </w:rPr>
        <w:t>一、服务对象和范围</w:t>
      </w:r>
    </w:p>
    <w:p>
      <w:pPr>
        <w:keepNext w:val="0"/>
        <w:keepLines w:val="0"/>
        <w:pageBreakBefore w:val="0"/>
        <w:widowControl/>
        <w:suppressLineNumbers w:val="0"/>
        <w:kinsoku/>
        <w:wordWrap/>
        <w:overflowPunct/>
        <w:topLinePunct w:val="0"/>
        <w:bidi w:val="0"/>
        <w:spacing w:line="590" w:lineRule="exact"/>
        <w:ind w:firstLine="640" w:firstLineChars="200"/>
        <w:jc w:val="left"/>
        <w:rPr>
          <w:rFonts w:hint="eastAsia" w:ascii="仿宋_GB2312" w:hAnsi="CESI仿宋-GB2312" w:eastAsia="仿宋_GB2312" w:cs="CESI仿宋-GB2312"/>
          <w:kern w:val="2"/>
          <w:sz w:val="32"/>
          <w:szCs w:val="32"/>
          <w:lang w:val="en-US" w:eastAsia="zh-CN" w:bidi="ar-SA"/>
        </w:rPr>
      </w:pPr>
      <w:r>
        <w:rPr>
          <w:rFonts w:hint="eastAsia" w:ascii="仿宋_GB2312" w:hAnsi="CESI仿宋-GB2312" w:eastAsia="仿宋_GB2312" w:cs="CESI仿宋-GB2312"/>
          <w:kern w:val="2"/>
          <w:sz w:val="32"/>
          <w:szCs w:val="32"/>
          <w:lang w:val="en-US" w:eastAsia="zh-CN" w:bidi="ar-SA"/>
        </w:rPr>
        <w:t>合作银行是为“专精特新”企业提供专项贷款服务，针对“专精特新”企业制定特殊优惠信贷金融产品的合作银行。</w:t>
      </w:r>
    </w:p>
    <w:p>
      <w:pPr>
        <w:pStyle w:val="2"/>
        <w:pageBreakBefore w:val="0"/>
        <w:kinsoku/>
        <w:wordWrap/>
        <w:overflowPunct/>
        <w:topLinePunct w:val="0"/>
        <w:bidi w:val="0"/>
        <w:spacing w:line="590" w:lineRule="exact"/>
        <w:ind w:firstLine="640" w:firstLineChars="200"/>
        <w:rPr>
          <w:rFonts w:hint="eastAsia" w:ascii="仿宋_GB2312" w:hAnsi="CESI仿宋-GB2312" w:eastAsia="仿宋_GB2312" w:cs="CESI仿宋-GB2312"/>
          <w:kern w:val="2"/>
          <w:sz w:val="32"/>
          <w:szCs w:val="32"/>
          <w:lang w:val="en-US" w:eastAsia="zh-CN" w:bidi="ar-SA"/>
        </w:rPr>
      </w:pPr>
      <w:r>
        <w:rPr>
          <w:rFonts w:hint="eastAsia" w:ascii="仿宋_GB2312" w:hAnsi="CESI仿宋-GB2312" w:eastAsia="仿宋_GB2312" w:cs="CESI仿宋-GB2312"/>
          <w:kern w:val="2"/>
          <w:sz w:val="32"/>
          <w:szCs w:val="32"/>
          <w:lang w:val="en-US" w:eastAsia="zh-CN" w:bidi="ar-SA"/>
        </w:rPr>
        <w:t>贷款支持对象为经省以上主管部门认定的“专精特新”中小企业，包含：国家专精特新“小巨人”、制造业单项冠军企业，省级“专精特新”、制造业单项冠军、瞪羚、独角兽企业。</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二、政策依据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textAlignment w:val="auto"/>
        <w:rPr>
          <w:rFonts w:hint="eastAsia" w:ascii="仿宋_GB2312" w:hAnsi="CESI仿宋-GB2312" w:eastAsia="仿宋_GB2312" w:cs="CESI仿宋-GB2312"/>
          <w:kern w:val="2"/>
          <w:sz w:val="32"/>
          <w:szCs w:val="32"/>
          <w:lang w:val="en-US" w:eastAsia="zh-CN" w:bidi="ar-SA"/>
        </w:rPr>
      </w:pPr>
      <w:r>
        <w:rPr>
          <w:rFonts w:hint="eastAsia"/>
          <w:lang w:val="en-US" w:eastAsia="zh-CN"/>
        </w:rPr>
        <w:t xml:space="preserve">    </w:t>
      </w:r>
      <w:r>
        <w:rPr>
          <w:rFonts w:hint="eastAsia" w:ascii="CESI仿宋-GB2312" w:hAnsi="CESI仿宋-GB2312" w:eastAsia="CESI仿宋-GB2312" w:cs="CESI仿宋-GB2312"/>
          <w:sz w:val="32"/>
          <w:szCs w:val="32"/>
          <w:lang w:val="en-US" w:eastAsia="zh-CN"/>
        </w:rPr>
        <w:t xml:space="preserve"> </w:t>
      </w:r>
      <w:r>
        <w:rPr>
          <w:rFonts w:hint="eastAsia" w:ascii="方正仿宋_GB2312" w:hAnsi="方正仿宋_GB2312" w:eastAsia="方正仿宋_GB2312" w:cs="方正仿宋_GB2312"/>
          <w:sz w:val="32"/>
          <w:szCs w:val="32"/>
          <w:lang w:val="en-US" w:eastAsia="zh-CN"/>
        </w:rPr>
        <w:t xml:space="preserve"> </w:t>
      </w:r>
      <w:r>
        <w:rPr>
          <w:rFonts w:hint="eastAsia" w:ascii="仿宋_GB2312" w:hAnsi="CESI仿宋-GB2312" w:eastAsia="仿宋_GB2312" w:cs="CESI仿宋-GB2312"/>
          <w:kern w:val="2"/>
          <w:sz w:val="32"/>
          <w:szCs w:val="32"/>
          <w:lang w:val="en-US" w:eastAsia="zh-CN" w:bidi="ar-SA"/>
        </w:rPr>
        <w:t xml:space="preserve"> 2021年10月20日，省工业和信息化厅、财政厅印发《关于印发山东省“专精特新”中小企业贷款风险补偿实施细则的通知》（鲁工信融〔2021〕226号）。</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三、政策内容</w:t>
      </w:r>
    </w:p>
    <w:p>
      <w:pPr>
        <w:keepNext w:val="0"/>
        <w:keepLines w:val="0"/>
        <w:pageBreakBefore w:val="0"/>
        <w:widowControl/>
        <w:suppressLineNumbers w:val="0"/>
        <w:kinsoku/>
        <w:wordWrap/>
        <w:overflowPunct/>
        <w:topLinePunct w:val="0"/>
        <w:bidi w:val="0"/>
        <w:spacing w:line="590" w:lineRule="exact"/>
        <w:ind w:firstLine="640" w:firstLineChars="200"/>
        <w:jc w:val="left"/>
        <w:rPr>
          <w:rFonts w:hint="eastAsia" w:ascii="仿宋_GB2312" w:hAnsi="CESI仿宋-GB2312" w:eastAsia="仿宋_GB2312" w:cs="CESI仿宋-GB2312"/>
          <w:kern w:val="2"/>
          <w:sz w:val="32"/>
          <w:szCs w:val="32"/>
          <w:lang w:val="en-US" w:eastAsia="zh-CN" w:bidi="ar-SA"/>
        </w:rPr>
      </w:pPr>
      <w:r>
        <w:rPr>
          <w:rFonts w:hint="eastAsia" w:ascii="仿宋_GB2312" w:hAnsi="CESI仿宋-GB2312" w:eastAsia="仿宋_GB2312" w:cs="CESI仿宋-GB2312"/>
          <w:kern w:val="2"/>
          <w:sz w:val="32"/>
          <w:szCs w:val="32"/>
          <w:lang w:val="en-US" w:eastAsia="zh-CN" w:bidi="ar-SA"/>
        </w:rPr>
        <w:t>对合作银行开展的“专精特新”中小企业贷款项目本金逾期达60天或利息逾期达90天，合作银行启动贷款补偿追偿程序。对合作银行确认为不良的部分，给予贷款本金10-30%的风险补偿，其余损失由合作银行承担。</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四、申报办理流程</w:t>
      </w:r>
    </w:p>
    <w:p>
      <w:pPr>
        <w:keepNext w:val="0"/>
        <w:keepLines w:val="0"/>
        <w:pageBreakBefore w:val="0"/>
        <w:widowControl/>
        <w:suppressLineNumbers w:val="0"/>
        <w:kinsoku/>
        <w:wordWrap/>
        <w:overflowPunct/>
        <w:topLinePunct w:val="0"/>
        <w:bidi w:val="0"/>
        <w:spacing w:line="590" w:lineRule="exact"/>
        <w:ind w:firstLine="640" w:firstLineChars="200"/>
        <w:jc w:val="left"/>
        <w:rPr>
          <w:rFonts w:hint="eastAsia" w:ascii="仿宋_GB2312" w:hAnsi="CESI仿宋-GB2312" w:eastAsia="仿宋_GB2312" w:cs="CESI仿宋-GB2312"/>
          <w:kern w:val="2"/>
          <w:sz w:val="32"/>
          <w:szCs w:val="32"/>
          <w:lang w:val="en-US" w:eastAsia="zh-CN" w:bidi="ar-SA"/>
        </w:rPr>
      </w:pPr>
      <w:r>
        <w:rPr>
          <w:rFonts w:hint="eastAsia" w:ascii="仿宋_GB2312" w:hAnsi="CESI仿宋-GB2312" w:eastAsia="仿宋_GB2312" w:cs="CESI仿宋-GB2312"/>
          <w:kern w:val="2"/>
          <w:sz w:val="32"/>
          <w:szCs w:val="32"/>
          <w:lang w:val="en-US" w:eastAsia="zh-CN" w:bidi="ar-SA"/>
        </w:rPr>
        <w:t>补偿程序：（一）合作银行与项目库内“专精特新”中小企业自由对接，企业自主提出贷款申请。合作银行独立审核和发放贷款，做好企业融资服务，提高管理效率，防范贷款风险。</w:t>
      </w:r>
    </w:p>
    <w:p>
      <w:pPr>
        <w:keepNext w:val="0"/>
        <w:keepLines w:val="0"/>
        <w:pageBreakBefore w:val="0"/>
        <w:widowControl/>
        <w:suppressLineNumbers w:val="0"/>
        <w:kinsoku/>
        <w:wordWrap/>
        <w:overflowPunct/>
        <w:topLinePunct w:val="0"/>
        <w:bidi w:val="0"/>
        <w:spacing w:line="590" w:lineRule="exact"/>
        <w:ind w:firstLine="640" w:firstLineChars="200"/>
        <w:jc w:val="left"/>
        <w:rPr>
          <w:rFonts w:hint="eastAsia" w:ascii="仿宋_GB2312" w:hAnsi="CESI仿宋-GB2312" w:eastAsia="仿宋_GB2312" w:cs="CESI仿宋-GB2312"/>
          <w:kern w:val="2"/>
          <w:sz w:val="32"/>
          <w:szCs w:val="32"/>
          <w:lang w:val="en-US" w:eastAsia="zh-CN" w:bidi="ar-SA"/>
        </w:rPr>
      </w:pPr>
      <w:r>
        <w:rPr>
          <w:rFonts w:hint="eastAsia" w:ascii="仿宋_GB2312" w:hAnsi="CESI仿宋-GB2312" w:eastAsia="仿宋_GB2312" w:cs="CESI仿宋-GB2312"/>
          <w:kern w:val="2"/>
          <w:sz w:val="32"/>
          <w:szCs w:val="32"/>
          <w:lang w:val="en-US" w:eastAsia="zh-CN" w:bidi="ar-SA"/>
        </w:rPr>
        <w:t>（二）合作银行在“专精特新”中小企业贷款逾期认定为不良后，应统一汇总系统内各分支机构符合补偿条件的小微企业不良贷款情况，于每季度结束后5个工作日内提出风险补偿申请并汇总报送省工信厅审核。对符合条件的风险补偿项目，向省财政厅提出风险补偿资金拨付计划。</w:t>
      </w:r>
    </w:p>
    <w:p>
      <w:pPr>
        <w:keepNext w:val="0"/>
        <w:keepLines w:val="0"/>
        <w:pageBreakBefore w:val="0"/>
        <w:widowControl/>
        <w:suppressLineNumbers w:val="0"/>
        <w:kinsoku/>
        <w:wordWrap/>
        <w:overflowPunct/>
        <w:topLinePunct w:val="0"/>
        <w:bidi w:val="0"/>
        <w:spacing w:line="590" w:lineRule="exact"/>
        <w:ind w:firstLine="640" w:firstLineChars="200"/>
        <w:jc w:val="left"/>
        <w:rPr>
          <w:rFonts w:hint="eastAsia" w:ascii="仿宋_GB2312" w:hAnsi="CESI仿宋-GB2312" w:eastAsia="仿宋_GB2312" w:cs="CESI仿宋-GB2312"/>
          <w:kern w:val="2"/>
          <w:sz w:val="32"/>
          <w:szCs w:val="32"/>
          <w:lang w:val="en-US" w:eastAsia="zh-CN" w:bidi="ar-SA"/>
        </w:rPr>
      </w:pPr>
      <w:r>
        <w:rPr>
          <w:rFonts w:hint="eastAsia" w:ascii="仿宋_GB2312" w:hAnsi="CESI仿宋-GB2312" w:eastAsia="仿宋_GB2312" w:cs="CESI仿宋-GB2312"/>
          <w:kern w:val="2"/>
          <w:sz w:val="32"/>
          <w:szCs w:val="32"/>
          <w:lang w:val="en-US" w:eastAsia="zh-CN" w:bidi="ar-SA"/>
        </w:rPr>
        <w:t>（三）省财政厅及时按照风险补偿资金拨付计划拨付资金。各银行业金融机构可直接将补偿资金用于冲抵贷款本金损失。在认定不良贷款责任人责任时，也应扣除财政已补偿的资金。</w:t>
      </w:r>
    </w:p>
    <w:p>
      <w:pPr>
        <w:keepNext w:val="0"/>
        <w:keepLines w:val="0"/>
        <w:pageBreakBefore w:val="0"/>
        <w:widowControl/>
        <w:suppressLineNumbers w:val="0"/>
        <w:kinsoku/>
        <w:wordWrap/>
        <w:overflowPunct/>
        <w:topLinePunct w:val="0"/>
        <w:bidi w:val="0"/>
        <w:spacing w:line="590" w:lineRule="exact"/>
        <w:ind w:firstLine="640" w:firstLineChars="200"/>
        <w:jc w:val="left"/>
        <w:rPr>
          <w:rFonts w:hint="eastAsia" w:ascii="仿宋_GB2312" w:hAnsi="CESI仿宋-GB2312" w:eastAsia="仿宋_GB2312" w:cs="CESI仿宋-GB2312"/>
          <w:kern w:val="2"/>
          <w:sz w:val="32"/>
          <w:szCs w:val="32"/>
          <w:lang w:val="en-US" w:eastAsia="zh-CN" w:bidi="ar-SA"/>
        </w:rPr>
      </w:pPr>
    </w:p>
    <w:p>
      <w:pPr>
        <w:keepNext w:val="0"/>
        <w:keepLines w:val="0"/>
        <w:pageBreakBefore w:val="0"/>
        <w:widowControl/>
        <w:suppressLineNumbers w:val="0"/>
        <w:kinsoku/>
        <w:wordWrap/>
        <w:overflowPunct/>
        <w:topLinePunct w:val="0"/>
        <w:bidi w:val="0"/>
        <w:spacing w:line="590" w:lineRule="exact"/>
        <w:ind w:firstLine="640" w:firstLineChars="200"/>
        <w:jc w:val="left"/>
        <w:rPr>
          <w:rFonts w:hint="eastAsia" w:ascii="CESI楷体-GB2312" w:hAnsi="CESI楷体-GB2312" w:eastAsia="CESI楷体-GB2312" w:cs="CESI楷体-GB2312"/>
          <w:kern w:val="2"/>
          <w:sz w:val="32"/>
          <w:szCs w:val="32"/>
          <w:lang w:val="en-US" w:eastAsia="zh-CN" w:bidi="ar-SA"/>
        </w:rPr>
      </w:pPr>
      <w:r>
        <w:rPr>
          <w:rFonts w:hint="eastAsia" w:ascii="CESI楷体-GB2312" w:hAnsi="CESI楷体-GB2312" w:eastAsia="CESI楷体-GB2312" w:cs="CESI楷体-GB2312"/>
          <w:kern w:val="2"/>
          <w:sz w:val="32"/>
          <w:szCs w:val="32"/>
          <w:lang w:val="en-US" w:eastAsia="zh-CN" w:bidi="ar-SA"/>
        </w:rPr>
        <w:t>主办单位：市工业和信息化局，联系电话8338080</w:t>
      </w: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sz w:val="36"/>
          <w:szCs w:val="36"/>
          <w:highlight w:val="none"/>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sz w:val="36"/>
          <w:szCs w:val="36"/>
          <w:highlight w:val="none"/>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sz w:val="36"/>
          <w:szCs w:val="36"/>
          <w:highlight w:val="none"/>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sz w:val="36"/>
          <w:szCs w:val="36"/>
          <w:highlight w:val="none"/>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sz w:val="36"/>
          <w:szCs w:val="36"/>
          <w:highlight w:val="none"/>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sz w:val="36"/>
          <w:szCs w:val="36"/>
          <w:highlight w:val="none"/>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sz w:val="36"/>
          <w:szCs w:val="36"/>
          <w:highlight w:val="none"/>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sz w:val="36"/>
          <w:szCs w:val="36"/>
          <w:highlight w:val="none"/>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sz w:val="36"/>
          <w:szCs w:val="36"/>
          <w:highlight w:val="none"/>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sz w:val="36"/>
          <w:szCs w:val="36"/>
          <w:highlight w:val="none"/>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sz w:val="36"/>
          <w:szCs w:val="36"/>
          <w:highlight w:val="none"/>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sz w:val="36"/>
          <w:szCs w:val="36"/>
          <w:highlight w:val="none"/>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sz w:val="36"/>
          <w:szCs w:val="36"/>
          <w:highlight w:val="none"/>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sz w:val="36"/>
          <w:szCs w:val="36"/>
          <w:highlight w:val="none"/>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黑体" w:hAnsi="黑体" w:eastAsia="方正小标宋简体" w:cs="CESI黑体-GB2312"/>
          <w:sz w:val="32"/>
          <w:szCs w:val="32"/>
          <w:highlight w:val="none"/>
          <w:lang w:eastAsia="zh-CN"/>
        </w:rPr>
      </w:pPr>
      <w:bookmarkStart w:id="12" w:name="_Toc32358"/>
      <w:r>
        <w:rPr>
          <w:rFonts w:hint="eastAsia" w:ascii="方正小标宋简体" w:hAnsi="方正小标宋简体" w:eastAsia="方正小标宋简体" w:cs="方正小标宋简体"/>
          <w:sz w:val="36"/>
          <w:szCs w:val="36"/>
          <w:highlight w:val="none"/>
        </w:rPr>
        <w:t>东营市知识产权质押融资风险补偿</w:t>
      </w:r>
      <w:r>
        <w:rPr>
          <w:rFonts w:hint="eastAsia" w:ascii="方正小标宋简体" w:hAnsi="方正小标宋简体" w:eastAsia="方正小标宋简体" w:cs="方正小标宋简体"/>
          <w:sz w:val="36"/>
          <w:szCs w:val="36"/>
          <w:highlight w:val="none"/>
          <w:lang w:eastAsia="zh-CN"/>
        </w:rPr>
        <w:t>政策</w:t>
      </w:r>
      <w:bookmarkEnd w:id="12"/>
    </w:p>
    <w:p>
      <w:pPr>
        <w:pStyle w:val="2"/>
        <w:keepNext w:val="0"/>
        <w:keepLines w:val="0"/>
        <w:pageBreakBefore w:val="0"/>
        <w:kinsoku/>
        <w:wordWrap/>
        <w:overflowPunct/>
        <w:topLinePunct w:val="0"/>
        <w:autoSpaceDE/>
        <w:autoSpaceDN/>
        <w:bidi w:val="0"/>
        <w:adjustRightInd/>
        <w:snapToGrid/>
        <w:spacing w:line="590" w:lineRule="exact"/>
        <w:ind w:firstLine="640" w:firstLineChars="200"/>
        <w:jc w:val="center"/>
        <w:textAlignment w:val="auto"/>
        <w:rPr>
          <w:rFonts w:hint="eastAsia" w:ascii="黑体" w:hAnsi="黑体" w:eastAsia="黑体"/>
          <w:sz w:val="32"/>
          <w:szCs w:val="32"/>
          <w:highlight w:val="none"/>
        </w:rPr>
      </w:pPr>
    </w:p>
    <w:p>
      <w:pPr>
        <w:pStyle w:val="2"/>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黑体" w:hAnsi="黑体" w:eastAsia="黑体"/>
          <w:sz w:val="32"/>
          <w:szCs w:val="32"/>
        </w:rPr>
      </w:pPr>
      <w:r>
        <w:rPr>
          <w:rFonts w:hint="eastAsia" w:ascii="黑体" w:hAnsi="黑体" w:eastAsia="黑体"/>
          <w:sz w:val="32"/>
          <w:szCs w:val="32"/>
        </w:rPr>
        <w:t>一、服务对象和范围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主要服务对象为在东营市依法设立的各类银行业金融机构，旨在服务市场主体融资。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知识产权质押贷款实行备案管理，符合条件并完成备案的方可纳入风险补偿范围。申请登记备案的银行应符合以下基本条件：（1）在东营市行政区域内依法设立并合规经营，近两年内未出现违规或重大风险事件；（2）建立知识产权信贷管理制度，并有明确的管理部门和人员负责；（3）在山东省辖区的总部或牵头分支机构已按照规定在山东省市场监管局（知识产权局）登记备案；（4）贷款利率不超过合同签订日上月人民银行公布的贷款市场报价利率（LPR）+200个基点（1个基点等于0.01%）。银行业金融机构需于每年6月25日、12月25日前将《东营市知识产权质押贷款风险补偿备案信息表》提交至市知识产权保护中心。</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楷体" w:eastAsia="仿宋_GB2312" w:cstheme="minorBidi"/>
          <w:kern w:val="2"/>
          <w:sz w:val="32"/>
          <w:szCs w:val="32"/>
          <w:lang w:val="en-US" w:eastAsia="zh-CN" w:bidi="ar-SA"/>
        </w:rPr>
      </w:pPr>
      <w:r>
        <w:rPr>
          <w:rFonts w:hint="eastAsia" w:ascii="方正仿宋_GB2312" w:eastAsia="方正仿宋_GB2312"/>
          <w:b/>
          <w:sz w:val="32"/>
          <w:szCs w:val="32"/>
        </w:rPr>
        <w:t>风险补偿资金申请条件：</w:t>
      </w:r>
      <w:r>
        <w:rPr>
          <w:rFonts w:hint="eastAsia" w:ascii="仿宋_GB2312" w:hAnsi="楷体" w:eastAsia="仿宋_GB2312" w:cstheme="minorBidi"/>
          <w:kern w:val="2"/>
          <w:sz w:val="32"/>
          <w:szCs w:val="32"/>
          <w:lang w:val="en-US" w:eastAsia="zh-CN" w:bidi="ar-SA"/>
        </w:rPr>
        <w:t>（1）贷款出现风险，应达到《中国银监会关于印发&lt;贷款风险分类指引&gt;的通知》规定的可疑或损失级别。（2）发放贷款的银行业金融机构按照程序履行贷后管理，贷款发生风险后进行积极催收，但仍未能收回全部贷款。（3）银行业金融机构年度不良贷款率在10%以内。（4）知识产权质押贷款期限为1年期以内，贷款中知识产权质押所占额度或者比例明确，且贷款放款前完成知识产权质押登记手续。</w:t>
      </w:r>
    </w:p>
    <w:p>
      <w:pPr>
        <w:pStyle w:val="2"/>
        <w:keepNext w:val="0"/>
        <w:keepLines w:val="0"/>
        <w:pageBreakBefore w:val="0"/>
        <w:kinsoku/>
        <w:wordWrap/>
        <w:overflowPunct/>
        <w:topLinePunct w:val="0"/>
        <w:autoSpaceDE/>
        <w:autoSpaceDN/>
        <w:bidi w:val="0"/>
        <w:adjustRightInd/>
        <w:snapToGrid/>
        <w:spacing w:line="590" w:lineRule="exact"/>
        <w:ind w:firstLine="643" w:firstLineChars="200"/>
        <w:textAlignment w:val="auto"/>
        <w:rPr>
          <w:rFonts w:hint="eastAsia" w:ascii="仿宋_GB2312" w:hAnsi="楷体" w:eastAsia="仿宋_GB2312" w:cstheme="minorBidi"/>
          <w:kern w:val="2"/>
          <w:sz w:val="32"/>
          <w:szCs w:val="32"/>
          <w:lang w:val="en-US" w:eastAsia="zh-CN" w:bidi="ar-SA"/>
        </w:rPr>
      </w:pPr>
      <w:r>
        <w:rPr>
          <w:rFonts w:hint="eastAsia" w:ascii="方正仿宋_GB2312" w:hAnsi="仿宋" w:eastAsia="方正仿宋_GB2312" w:cstheme="minorBidi"/>
          <w:b/>
          <w:kern w:val="2"/>
          <w:sz w:val="32"/>
          <w:szCs w:val="32"/>
          <w:lang w:val="en-US" w:eastAsia="zh-CN" w:bidi="ar-SA"/>
        </w:rPr>
        <w:t>概念解释</w:t>
      </w:r>
      <w:r>
        <w:rPr>
          <w:rFonts w:hint="eastAsia" w:ascii="方正仿宋_GB2312" w:eastAsia="方正仿宋_GB2312" w:cstheme="minorBidi"/>
          <w:b/>
          <w:kern w:val="2"/>
          <w:sz w:val="32"/>
          <w:szCs w:val="32"/>
          <w:lang w:val="en-US" w:eastAsia="zh-CN" w:bidi="ar-SA"/>
        </w:rPr>
        <w:t>：</w:t>
      </w:r>
      <w:r>
        <w:rPr>
          <w:rFonts w:hint="eastAsia" w:ascii="仿宋_GB2312" w:hAnsi="楷体" w:eastAsia="仿宋_GB2312" w:cstheme="minorBidi"/>
          <w:kern w:val="2"/>
          <w:sz w:val="32"/>
          <w:szCs w:val="32"/>
          <w:lang w:val="en-US" w:eastAsia="zh-CN" w:bidi="ar-SA"/>
        </w:rPr>
        <w:t>知识产权质押贷款，是指企业以其专利权、商标权出质，银行业金融机构作为质权人直接向企业提供的贷款。</w:t>
      </w:r>
    </w:p>
    <w:p>
      <w:pPr>
        <w:pStyle w:val="2"/>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黑体" w:hAnsi="黑体" w:eastAsia="黑体"/>
          <w:sz w:val="32"/>
          <w:szCs w:val="32"/>
        </w:rPr>
      </w:pPr>
      <w:r>
        <w:rPr>
          <w:rFonts w:hint="eastAsia" w:ascii="黑体" w:hAnsi="黑体" w:eastAsia="黑体"/>
          <w:sz w:val="32"/>
          <w:szCs w:val="32"/>
          <w:lang w:eastAsia="zh-CN"/>
        </w:rPr>
        <w:t>二</w:t>
      </w:r>
      <w:r>
        <w:rPr>
          <w:rFonts w:hint="eastAsia" w:ascii="黑体" w:hAnsi="黑体" w:eastAsia="黑体"/>
          <w:sz w:val="32"/>
          <w:szCs w:val="32"/>
        </w:rPr>
        <w:t>、政策名称或政策依据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2021年11月8日，东营市市场监管局会同市财政局、中国人民银行东营市中心支行、东营银保监分局联合出台了《关于印发〈东营市知识产权质押融资风险补偿资金管理办法〉的通知》（东市监发〔2021〕7号）。文件有效期为2021年11月1日至2024年10月31日。</w:t>
      </w:r>
    </w:p>
    <w:p>
      <w:pPr>
        <w:pStyle w:val="2"/>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黑体" w:hAnsi="黑体" w:eastAsia="黑体"/>
          <w:sz w:val="32"/>
          <w:szCs w:val="32"/>
        </w:rPr>
      </w:pPr>
      <w:r>
        <w:rPr>
          <w:rFonts w:hint="eastAsia" w:ascii="黑体" w:hAnsi="黑体" w:eastAsia="黑体"/>
          <w:sz w:val="32"/>
          <w:szCs w:val="32"/>
          <w:lang w:eastAsia="zh-CN"/>
        </w:rPr>
        <w:t>三</w:t>
      </w:r>
      <w:r>
        <w:rPr>
          <w:rFonts w:hint="eastAsia" w:ascii="黑体" w:hAnsi="黑体" w:eastAsia="黑体"/>
          <w:sz w:val="32"/>
          <w:szCs w:val="32"/>
        </w:rPr>
        <w:t>、政策措施内容及标准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风险补偿资金实行省、市县、银行共担原则，对银行业金融机构实际发放知识产权质押贷款的本金损失，省、市县、备案银行分别按照40%、40%、20%的比例给予补偿，其中市县承担比例按现行财政管理体制规定分级负担。单笔补偿金额不超过300万元。</w:t>
      </w:r>
    </w:p>
    <w:p>
      <w:pPr>
        <w:keepNext w:val="0"/>
        <w:keepLines w:val="0"/>
        <w:pageBreakBefore w:val="0"/>
        <w:kinsoku/>
        <w:wordWrap/>
        <w:overflowPunct/>
        <w:topLinePunct w:val="0"/>
        <w:autoSpaceDE/>
        <w:autoSpaceDN/>
        <w:bidi w:val="0"/>
        <w:adjustRightInd/>
        <w:snapToGrid/>
        <w:spacing w:line="590" w:lineRule="exact"/>
        <w:textAlignment w:val="auto"/>
        <w:rPr>
          <w:rFonts w:hint="eastAsia" w:ascii="CESI楷体-GB2312" w:hAnsi="CESI楷体-GB2312" w:eastAsia="CESI楷体-GB2312" w:cs="CESI楷体-GB2312"/>
          <w:kern w:val="2"/>
          <w:sz w:val="32"/>
          <w:szCs w:val="32"/>
          <w:lang w:val="en-US" w:eastAsia="zh-CN" w:bidi="ar-SA"/>
        </w:rPr>
      </w:pPr>
      <w:r>
        <w:rPr>
          <w:rFonts w:hint="eastAsia" w:ascii="CESI楷体-GB2312" w:hAnsi="CESI楷体-GB2312" w:eastAsia="CESI楷体-GB2312" w:cs="CESI楷体-GB2312"/>
          <w:kern w:val="2"/>
          <w:sz w:val="32"/>
          <w:szCs w:val="32"/>
          <w:lang w:val="en-US" w:eastAsia="zh-CN" w:bidi="ar-SA"/>
        </w:rPr>
        <w:t>主办单位：市知识产权保护中心   联系电话：8332015</w:t>
      </w:r>
    </w:p>
    <w:p>
      <w:pPr>
        <w:keepNext w:val="0"/>
        <w:keepLines w:val="0"/>
        <w:pageBreakBefore w:val="0"/>
        <w:widowControl/>
        <w:kinsoku/>
        <w:wordWrap/>
        <w:overflowPunct/>
        <w:topLinePunct w:val="0"/>
        <w:autoSpaceDE/>
        <w:autoSpaceDN/>
        <w:bidi w:val="0"/>
        <w:adjustRightInd/>
        <w:snapToGrid/>
        <w:spacing w:line="590" w:lineRule="exact"/>
        <w:ind w:firstLine="0" w:firstLineChars="0"/>
        <w:jc w:val="left"/>
        <w:textAlignment w:val="auto"/>
        <w:rPr>
          <w:rFonts w:ascii="Times New Roman" w:hAnsi="Times New Roman" w:cs="Times New Roman"/>
          <w:szCs w:val="32"/>
        </w:rPr>
      </w:pPr>
      <w:bookmarkStart w:id="13" w:name="_Toc10957"/>
      <w:r>
        <w:rPr>
          <w:rFonts w:ascii="Times New Roman" w:hAnsi="Times New Roman" w:cs="Times New Roman"/>
          <w:szCs w:val="32"/>
        </w:rPr>
        <w:br w:type="page"/>
      </w:r>
    </w:p>
    <w:bookmarkEnd w:id="13"/>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highlight w:val="none"/>
          <w:lang w:val="en"/>
        </w:rPr>
      </w:pPr>
    </w:p>
    <w:p>
      <w:pPr>
        <w:pageBreakBefore w:val="0"/>
        <w:kinsoku/>
        <w:wordWrap/>
        <w:overflowPunct/>
        <w:topLinePunct w:val="0"/>
        <w:bidi w:val="0"/>
        <w:spacing w:line="590" w:lineRule="exact"/>
        <w:ind w:left="0" w:leftChars="0" w:firstLine="0" w:firstLineChars="0"/>
        <w:jc w:val="center"/>
        <w:outlineLvl w:val="1"/>
        <w:rPr>
          <w:rFonts w:ascii="黑体" w:hAnsi="黑体" w:eastAsia="黑体" w:cs="CESI黑体-GB2312"/>
          <w:sz w:val="32"/>
          <w:szCs w:val="32"/>
        </w:rPr>
      </w:pPr>
      <w:bookmarkStart w:id="14" w:name="_Toc26903"/>
      <w:r>
        <w:rPr>
          <w:rFonts w:hint="eastAsia" w:ascii="方正小标宋简体" w:hAnsi="方正小标宋简体" w:eastAsia="方正小标宋简体" w:cs="方正小标宋简体"/>
          <w:sz w:val="36"/>
          <w:szCs w:val="36"/>
          <w:highlight w:val="none"/>
        </w:rPr>
        <w:t>中小微企业知识产权质押融资贴息</w:t>
      </w:r>
      <w:bookmarkEnd w:id="14"/>
    </w:p>
    <w:p>
      <w:pPr>
        <w:pageBreakBefore w:val="0"/>
        <w:kinsoku/>
        <w:wordWrap/>
        <w:overflowPunct/>
        <w:topLinePunct w:val="0"/>
        <w:bidi w:val="0"/>
        <w:spacing w:line="590" w:lineRule="exact"/>
        <w:ind w:firstLine="636"/>
        <w:rPr>
          <w:rFonts w:ascii="方正仿宋_GB2312" w:hAnsi="CESI黑体-GB2312" w:eastAsia="方正仿宋_GB2312" w:cs="CESI黑体-GB2312"/>
          <w:sz w:val="32"/>
          <w:szCs w:val="32"/>
        </w:rPr>
      </w:pPr>
    </w:p>
    <w:p>
      <w:pPr>
        <w:pageBreakBefore w:val="0"/>
        <w:kinsoku/>
        <w:wordWrap/>
        <w:overflowPunct/>
        <w:topLinePunct w:val="0"/>
        <w:bidi w:val="0"/>
        <w:spacing w:line="590" w:lineRule="exact"/>
        <w:ind w:firstLine="636"/>
        <w:rPr>
          <w:rFonts w:ascii="黑体" w:hAnsi="黑体" w:eastAsia="黑体" w:cs="CESI黑体-GB2312"/>
          <w:sz w:val="32"/>
          <w:szCs w:val="32"/>
        </w:rPr>
      </w:pPr>
      <w:r>
        <w:rPr>
          <w:rFonts w:hint="eastAsia" w:ascii="黑体" w:hAnsi="黑体" w:eastAsia="黑体" w:cs="CESI黑体-GB2312"/>
          <w:sz w:val="32"/>
          <w:szCs w:val="32"/>
        </w:rPr>
        <w:t>一、服务对象和范围</w:t>
      </w:r>
    </w:p>
    <w:p>
      <w:pPr>
        <w:pageBreakBefore w:val="0"/>
        <w:kinsoku/>
        <w:wordWrap/>
        <w:overflowPunct/>
        <w:topLinePunct w:val="0"/>
        <w:bidi w:val="0"/>
        <w:spacing w:line="590" w:lineRule="exact"/>
        <w:ind w:firstLine="636"/>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在山东省行政区域内（不含计划单列市）注册，具有独立法人资格，符合国家中小微企业划型标准规定的企业。</w:t>
      </w:r>
    </w:p>
    <w:p>
      <w:pPr>
        <w:pageBreakBefore w:val="0"/>
        <w:kinsoku/>
        <w:wordWrap/>
        <w:overflowPunct/>
        <w:topLinePunct w:val="0"/>
        <w:bidi w:val="0"/>
        <w:spacing w:line="590" w:lineRule="exact"/>
        <w:ind w:firstLine="636"/>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申报条件：</w:t>
      </w:r>
    </w:p>
    <w:p>
      <w:pPr>
        <w:pageBreakBefore w:val="0"/>
        <w:kinsoku/>
        <w:wordWrap/>
        <w:overflowPunct/>
        <w:topLinePunct w:val="0"/>
        <w:bidi w:val="0"/>
        <w:spacing w:line="590" w:lineRule="exact"/>
        <w:ind w:firstLine="636"/>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1．贷款企业是出质知识产权（专利权）的权利人，知识产权（专利权）权属清晰、合法有效。</w:t>
      </w:r>
    </w:p>
    <w:p>
      <w:pPr>
        <w:pageBreakBefore w:val="0"/>
        <w:kinsoku/>
        <w:wordWrap/>
        <w:overflowPunct/>
        <w:topLinePunct w:val="0"/>
        <w:bidi w:val="0"/>
        <w:spacing w:line="590" w:lineRule="exact"/>
        <w:ind w:firstLine="636"/>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2．贷款放款前完成知识产权（专利权）质押登记。</w:t>
      </w:r>
    </w:p>
    <w:p>
      <w:pPr>
        <w:pageBreakBefore w:val="0"/>
        <w:kinsoku/>
        <w:wordWrap/>
        <w:overflowPunct/>
        <w:topLinePunct w:val="0"/>
        <w:bidi w:val="0"/>
        <w:spacing w:line="590" w:lineRule="exact"/>
        <w:ind w:firstLine="636"/>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3．贷款已按合同约定完成还本付息。</w:t>
      </w:r>
    </w:p>
    <w:p>
      <w:pPr>
        <w:pageBreakBefore w:val="0"/>
        <w:kinsoku/>
        <w:wordWrap/>
        <w:overflowPunct/>
        <w:topLinePunct w:val="0"/>
        <w:bidi w:val="0"/>
        <w:spacing w:line="590" w:lineRule="exact"/>
        <w:ind w:firstLine="636"/>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 xml:space="preserve">4．知识产权（专利权）质押获得银行贷款的额度或比例明确。     </w:t>
      </w:r>
    </w:p>
    <w:p>
      <w:pPr>
        <w:pageBreakBefore w:val="0"/>
        <w:kinsoku/>
        <w:wordWrap/>
        <w:overflowPunct/>
        <w:topLinePunct w:val="0"/>
        <w:bidi w:val="0"/>
        <w:spacing w:line="590" w:lineRule="exact"/>
        <w:ind w:firstLine="636"/>
        <w:rPr>
          <w:rFonts w:ascii="黑体" w:hAnsi="黑体" w:eastAsia="黑体" w:cs="CESI黑体-GB2312"/>
          <w:sz w:val="32"/>
          <w:szCs w:val="32"/>
        </w:rPr>
      </w:pPr>
      <w:r>
        <w:rPr>
          <w:rFonts w:hint="eastAsia" w:ascii="黑体" w:hAnsi="黑体" w:eastAsia="黑体" w:cs="CESI黑体-GB2312"/>
          <w:sz w:val="32"/>
          <w:szCs w:val="32"/>
        </w:rPr>
        <w:t>二、政策名称或政策依据</w:t>
      </w:r>
    </w:p>
    <w:p>
      <w:pPr>
        <w:pageBreakBefore w:val="0"/>
        <w:kinsoku/>
        <w:wordWrap/>
        <w:overflowPunct/>
        <w:topLinePunct w:val="0"/>
        <w:bidi w:val="0"/>
        <w:spacing w:line="590" w:lineRule="exact"/>
        <w:ind w:firstLine="636"/>
        <w:rPr>
          <w:rFonts w:ascii="方正仿宋_GB2312" w:hAnsi="CESI黑体-GB2312" w:eastAsia="方正仿宋_GB2312" w:cs="CESI黑体-GB2312"/>
          <w:sz w:val="32"/>
          <w:szCs w:val="32"/>
        </w:rPr>
      </w:pPr>
      <w:r>
        <w:rPr>
          <w:rFonts w:hint="eastAsia" w:ascii="仿宋_GB2312" w:hAnsi="仿宋_GB2312" w:eastAsia="仿宋_GB2312" w:cs="仿宋_GB2312"/>
          <w:kern w:val="2"/>
          <w:sz w:val="32"/>
          <w:szCs w:val="32"/>
          <w:highlight w:val="none"/>
          <w:lang w:val="en-US" w:eastAsia="zh-CN" w:bidi="ar-SA"/>
        </w:rPr>
        <w:t xml:space="preserve">2021年5月18日，山东省市场监管局会同中国人民银行济南分行出台了《关于印发〈山东省中小微企业知识产权质押融资贴息申报指南〉的通知》（鲁市监发〔2021〕9号）。 </w:t>
      </w:r>
    </w:p>
    <w:p>
      <w:pPr>
        <w:pageBreakBefore w:val="0"/>
        <w:kinsoku/>
        <w:wordWrap/>
        <w:overflowPunct/>
        <w:topLinePunct w:val="0"/>
        <w:bidi w:val="0"/>
        <w:spacing w:line="590" w:lineRule="exact"/>
        <w:ind w:firstLine="636"/>
        <w:rPr>
          <w:rFonts w:ascii="黑体" w:hAnsi="黑体" w:eastAsia="黑体" w:cs="CESI黑体-GB2312"/>
          <w:sz w:val="32"/>
          <w:szCs w:val="32"/>
        </w:rPr>
      </w:pPr>
      <w:r>
        <w:rPr>
          <w:rFonts w:hint="eastAsia" w:ascii="黑体" w:hAnsi="黑体" w:eastAsia="黑体" w:cs="CESI黑体-GB2312"/>
          <w:sz w:val="32"/>
          <w:szCs w:val="32"/>
        </w:rPr>
        <w:t>三、政策措施内容及标准</w:t>
      </w:r>
    </w:p>
    <w:p>
      <w:pPr>
        <w:pageBreakBefore w:val="0"/>
        <w:kinsoku/>
        <w:wordWrap/>
        <w:overflowPunct/>
        <w:topLinePunct w:val="0"/>
        <w:bidi w:val="0"/>
        <w:spacing w:line="590" w:lineRule="exact"/>
        <w:ind w:firstLine="636"/>
        <w:rPr>
          <w:rFonts w:ascii="方正仿宋_GB2312" w:hAnsi="CESI黑体-GB2312" w:eastAsia="方正仿宋_GB2312" w:cs="CESI黑体-GB2312"/>
          <w:sz w:val="32"/>
          <w:szCs w:val="32"/>
        </w:rPr>
      </w:pPr>
      <w:r>
        <w:rPr>
          <w:rFonts w:hint="eastAsia" w:ascii="仿宋_GB2312" w:hAnsi="仿宋_GB2312" w:eastAsia="仿宋_GB2312" w:cs="仿宋_GB2312"/>
          <w:kern w:val="2"/>
          <w:sz w:val="32"/>
          <w:szCs w:val="32"/>
          <w:highlight w:val="none"/>
          <w:lang w:val="en-US" w:eastAsia="zh-CN" w:bidi="ar-SA"/>
        </w:rPr>
        <w:t>省财政对符合条件的知识产权（专利权）质押融资单笔贷款，按照贷款合同签订日上月一年期贷款市场报价利率（LPR）的60%给予贴息支持，每家企业每个申报年度贴息额最高不超过50万元。对企业因贷款产生的知识产权（专利权）评估或价值分析费，按确认发生额的50%予以补助，每家企业每个申报年度补助最高不超过5万元。</w:t>
      </w:r>
      <w:r>
        <w:rPr>
          <w:rFonts w:hint="eastAsia" w:ascii="方正仿宋_GB2312" w:hAnsi="CESI黑体-GB2312" w:eastAsia="方正仿宋_GB2312" w:cs="CESI黑体-GB2312"/>
          <w:sz w:val="32"/>
          <w:szCs w:val="32"/>
        </w:rPr>
        <w:t xml:space="preserve">  </w:t>
      </w:r>
    </w:p>
    <w:p>
      <w:pPr>
        <w:pageBreakBefore w:val="0"/>
        <w:kinsoku/>
        <w:wordWrap/>
        <w:overflowPunct/>
        <w:topLinePunct w:val="0"/>
        <w:bidi w:val="0"/>
        <w:spacing w:line="590" w:lineRule="exact"/>
        <w:ind w:firstLine="636"/>
        <w:rPr>
          <w:rFonts w:ascii="黑体" w:hAnsi="黑体" w:eastAsia="黑体" w:cs="CESI黑体-GB2312"/>
          <w:sz w:val="32"/>
          <w:szCs w:val="32"/>
        </w:rPr>
      </w:pPr>
      <w:r>
        <w:rPr>
          <w:rFonts w:hint="eastAsia" w:ascii="黑体" w:hAnsi="黑体" w:eastAsia="黑体" w:cs="CESI黑体-GB2312"/>
          <w:sz w:val="32"/>
          <w:szCs w:val="32"/>
        </w:rPr>
        <w:t>四、申报办理流程</w:t>
      </w:r>
    </w:p>
    <w:p>
      <w:pPr>
        <w:pageBreakBefore w:val="0"/>
        <w:kinsoku/>
        <w:wordWrap/>
        <w:overflowPunct/>
        <w:topLinePunct w:val="0"/>
        <w:bidi w:val="0"/>
        <w:spacing w:line="590" w:lineRule="exact"/>
        <w:ind w:firstLine="636"/>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1．各市市场监管局发布申报通知，企业按要求提报申请材料。</w:t>
      </w:r>
    </w:p>
    <w:p>
      <w:pPr>
        <w:pageBreakBefore w:val="0"/>
        <w:kinsoku/>
        <w:wordWrap/>
        <w:overflowPunct/>
        <w:topLinePunct w:val="0"/>
        <w:bidi w:val="0"/>
        <w:spacing w:line="590" w:lineRule="exact"/>
        <w:ind w:firstLine="636"/>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2．各市市场监管局、人民银行联合对申请材料进行审核。</w:t>
      </w:r>
    </w:p>
    <w:p>
      <w:pPr>
        <w:pageBreakBefore w:val="0"/>
        <w:kinsoku/>
        <w:wordWrap/>
        <w:overflowPunct/>
        <w:topLinePunct w:val="0"/>
        <w:bidi w:val="0"/>
        <w:spacing w:line="590" w:lineRule="exact"/>
        <w:ind w:firstLine="636"/>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3．各市市场监管局对审核结果进行汇总，提出资金分配方案，在门户网站予以公示，公示时间不少于5个工作日。</w:t>
      </w:r>
    </w:p>
    <w:p>
      <w:pPr>
        <w:pageBreakBefore w:val="0"/>
        <w:kinsoku/>
        <w:wordWrap/>
        <w:overflowPunct/>
        <w:topLinePunct w:val="0"/>
        <w:bidi w:val="0"/>
        <w:spacing w:line="590" w:lineRule="exact"/>
        <w:ind w:firstLine="636"/>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4．公示无异议后，各市市场监管局确定资金分配方案，提报本级财政部门，并报省市场监管局备案。</w:t>
      </w:r>
    </w:p>
    <w:p>
      <w:pPr>
        <w:pageBreakBefore w:val="0"/>
        <w:kinsoku/>
        <w:wordWrap/>
        <w:overflowPunct/>
        <w:topLinePunct w:val="0"/>
        <w:bidi w:val="0"/>
        <w:spacing w:line="590" w:lineRule="exact"/>
        <w:ind w:firstLine="636"/>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 xml:space="preserve">5．各市财政部门根据资金分配方案拨付资金，并报省级财政部门备案。  </w:t>
      </w:r>
    </w:p>
    <w:p>
      <w:pPr>
        <w:pageBreakBefore w:val="0"/>
        <w:kinsoku/>
        <w:wordWrap/>
        <w:overflowPunct/>
        <w:topLinePunct w:val="0"/>
        <w:bidi w:val="0"/>
        <w:spacing w:line="590" w:lineRule="exact"/>
        <w:ind w:firstLine="636"/>
        <w:rPr>
          <w:rFonts w:hint="eastAsia" w:ascii="仿宋_GB2312" w:hAnsi="仿宋_GB2312" w:eastAsia="仿宋_GB2312" w:cs="仿宋_GB2312"/>
          <w:kern w:val="2"/>
          <w:sz w:val="32"/>
          <w:szCs w:val="32"/>
          <w:highlight w:val="none"/>
          <w:lang w:val="en-US" w:eastAsia="zh-CN" w:bidi="ar-SA"/>
        </w:rPr>
      </w:pPr>
    </w:p>
    <w:p>
      <w:pPr>
        <w:pageBreakBefore w:val="0"/>
        <w:kinsoku/>
        <w:wordWrap/>
        <w:overflowPunct/>
        <w:topLinePunct w:val="0"/>
        <w:bidi w:val="0"/>
        <w:spacing w:line="590" w:lineRule="exact"/>
        <w:ind w:firstLine="636"/>
        <w:rPr>
          <w:rFonts w:hint="eastAsia" w:ascii="CESI楷体-GB2312" w:hAnsi="CESI楷体-GB2312" w:eastAsia="CESI楷体-GB2312" w:cs="CESI楷体-GB2312"/>
          <w:kern w:val="2"/>
          <w:sz w:val="32"/>
          <w:szCs w:val="32"/>
          <w:highlight w:val="none"/>
          <w:lang w:val="en-US" w:eastAsia="zh-CN" w:bidi="ar-SA"/>
        </w:rPr>
      </w:pPr>
      <w:r>
        <w:rPr>
          <w:rFonts w:hint="eastAsia" w:ascii="CESI楷体-GB2312" w:hAnsi="CESI楷体-GB2312" w:eastAsia="CESI楷体-GB2312" w:cs="CESI楷体-GB2312"/>
          <w:kern w:val="2"/>
          <w:sz w:val="32"/>
          <w:szCs w:val="32"/>
          <w:highlight w:val="none"/>
          <w:lang w:val="en-US" w:eastAsia="zh-CN" w:bidi="ar-SA"/>
        </w:rPr>
        <w:t>主办单位：市知识产权保护中心   联系电话：8332015</w:t>
      </w: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highlight w:val="none"/>
          <w:lang w:val="e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highlight w:val="none"/>
          <w:lang w:val="e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highlight w:val="none"/>
          <w:lang w:val="e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highlight w:val="none"/>
          <w:lang w:val="e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highlight w:val="none"/>
          <w:lang w:val="e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highlight w:val="none"/>
          <w:lang w:val="e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highlight w:val="none"/>
          <w:lang w:val="e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highlight w:val="none"/>
          <w:lang w:val="e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highlight w:val="none"/>
          <w:lang w:val="e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highlight w:val="none"/>
          <w:lang w:val="e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highlight w:val="none"/>
          <w:lang w:val="e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highlight w:val="none"/>
          <w:lang w:val="en"/>
        </w:rPr>
      </w:pPr>
      <w:bookmarkStart w:id="15" w:name="_Toc7448"/>
      <w:r>
        <w:rPr>
          <w:rFonts w:hint="eastAsia" w:ascii="方正小标宋简体" w:hAnsi="方正小标宋简体" w:eastAsia="方正小标宋简体" w:cs="方正小标宋简体"/>
          <w:b w:val="0"/>
          <w:bCs w:val="0"/>
          <w:sz w:val="36"/>
          <w:szCs w:val="36"/>
          <w:highlight w:val="none"/>
          <w:lang w:val="en"/>
        </w:rPr>
        <w:t>科技成果转化贷款</w:t>
      </w:r>
      <w:bookmarkEnd w:id="15"/>
    </w:p>
    <w:p>
      <w:pPr>
        <w:pStyle w:val="2"/>
        <w:keepNext w:val="0"/>
        <w:keepLines w:val="0"/>
        <w:pageBreakBefore w:val="0"/>
        <w:kinsoku/>
        <w:wordWrap/>
        <w:overflowPunct/>
        <w:topLinePunct w:val="0"/>
        <w:autoSpaceDE/>
        <w:autoSpaceDN/>
        <w:bidi w:val="0"/>
        <w:adjustRightInd/>
        <w:snapToGrid/>
        <w:spacing w:line="590" w:lineRule="exact"/>
        <w:ind w:left="0" w:leftChars="0" w:firstLine="0" w:firstLineChars="0"/>
        <w:textAlignment w:val="auto"/>
        <w:rPr>
          <w:rFonts w:hint="eastAsia"/>
          <w:sz w:val="32"/>
          <w:szCs w:val="32"/>
          <w:highlight w:val="none"/>
          <w:lang w:val="en"/>
        </w:rPr>
      </w:pPr>
    </w:p>
    <w:p>
      <w:pPr>
        <w:pStyle w:val="2"/>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CESI仿宋-GB2312" w:hAnsi="CESI仿宋-GB2312" w:eastAsia="CESI仿宋-GB2312" w:cs="CESI仿宋-GB2312"/>
          <w:sz w:val="32"/>
          <w:szCs w:val="32"/>
        </w:rPr>
      </w:pPr>
      <w:r>
        <w:rPr>
          <w:rFonts w:hint="eastAsia" w:ascii="Times New Roman" w:hAnsi="Times New Roman" w:eastAsia="黑体"/>
          <w:sz w:val="32"/>
          <w:szCs w:val="32"/>
        </w:rPr>
        <w:t>一、服务对象和范围</w:t>
      </w:r>
    </w:p>
    <w:p>
      <w:pPr>
        <w:keepNext w:val="0"/>
        <w:keepLines w:val="0"/>
        <w:pageBreakBefore w:val="0"/>
        <w:kinsoku/>
        <w:wordWrap/>
        <w:overflowPunct/>
        <w:topLinePunct w:val="0"/>
        <w:autoSpaceDE/>
        <w:autoSpaceDN/>
        <w:bidi w:val="0"/>
        <w:adjustRightInd/>
        <w:snapToGrid/>
        <w:spacing w:line="590" w:lineRule="exact"/>
        <w:ind w:firstLine="640"/>
        <w:jc w:val="left"/>
        <w:textAlignment w:val="auto"/>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主要服务国家科技型中小企业（贷款年度内获得国家科技型中小企业库入库编号）融资。具体承办银行机构及时咨询市科学技术局。</w:t>
      </w:r>
    </w:p>
    <w:p>
      <w:pPr>
        <w:keepNext w:val="0"/>
        <w:keepLines w:val="0"/>
        <w:pageBreakBefore w:val="0"/>
        <w:kinsoku/>
        <w:wordWrap/>
        <w:overflowPunct/>
        <w:topLinePunct w:val="0"/>
        <w:autoSpaceDE/>
        <w:autoSpaceDN/>
        <w:bidi w:val="0"/>
        <w:adjustRightInd/>
        <w:snapToGrid/>
        <w:spacing w:line="590" w:lineRule="exact"/>
        <w:ind w:firstLine="643" w:firstLineChars="200"/>
        <w:textAlignment w:val="auto"/>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b/>
          <w:bCs/>
          <w:kern w:val="2"/>
          <w:sz w:val="32"/>
          <w:szCs w:val="32"/>
          <w:lang w:val="en-US" w:eastAsia="zh-CN" w:bidi="ar-SA"/>
        </w:rPr>
        <w:t>概念解释：</w:t>
      </w:r>
      <w:r>
        <w:rPr>
          <w:rFonts w:hint="eastAsia" w:ascii="仿宋_GB2312" w:hAnsi="楷体" w:eastAsia="仿宋_GB2312" w:cstheme="minorBidi"/>
          <w:kern w:val="2"/>
          <w:sz w:val="32"/>
          <w:szCs w:val="32"/>
          <w:lang w:val="en-US" w:eastAsia="zh-CN" w:bidi="ar-SA"/>
        </w:rPr>
        <w:t>科技成果转化贷款是由商业银行向企业提供，用于企业科技研发、成果转化或产业化的贷款。科技成果转化贷款实行备案管理，符合备案条件的纳入风险补偿范围，激发银行机构工作积极性。</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仿宋_GB2312" w:hAnsi="楷体" w:eastAsia="仿宋_GB2312" w:cstheme="minorBidi"/>
          <w:kern w:val="2"/>
          <w:sz w:val="32"/>
          <w:szCs w:val="32"/>
          <w:lang w:val="en-US" w:eastAsia="zh-CN" w:bidi="ar-SA"/>
        </w:rPr>
      </w:pPr>
      <w:r>
        <w:rPr>
          <w:rFonts w:hint="eastAsia" w:ascii="Times New Roman" w:hAnsi="Times New Roman" w:eastAsia="黑体"/>
          <w:sz w:val="32"/>
          <w:szCs w:val="32"/>
          <w:lang w:eastAsia="zh-CN"/>
        </w:rPr>
        <w:t>二</w:t>
      </w:r>
      <w:r>
        <w:rPr>
          <w:rFonts w:hint="eastAsia" w:ascii="Times New Roman" w:hAnsi="Times New Roman" w:eastAsia="黑体"/>
          <w:sz w:val="32"/>
          <w:szCs w:val="32"/>
        </w:rPr>
        <w:t>、政策名称或政策依据</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省级文件：2021年3月17日，山东省科学技术厅、山东省财政厅出台了《山东省科技成果转化贷款风险补偿操作指南》（鲁科字〔2021〕19号）文件。2021年4月26日，山东省科学技术厅、山东省财政厅出台了《关于提高山东省科技成果转化贷款风险补偿备案额度的通知》（鲁科字〔2021〕33号）文件。</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市级文件：2021年7月15日，中国人民银行东营市中心支行、东营市科学技术局、东营市地方金融监督管理局等部门出台了《东营市金融服务科技创新实施方案》（东银发〔2021〕93号）文件。2022年5月5日中国人民银行东营市中心支行、东营市科学技术局、东营市市场监管局出台了《关于提升科技创新金融服务水平助力科创企业高质量发展的通知》（东银发〔2022〕49号）文件。</w:t>
      </w:r>
    </w:p>
    <w:p>
      <w:pPr>
        <w:pStyle w:val="2"/>
        <w:keepNext w:val="0"/>
        <w:keepLines w:val="0"/>
        <w:pageBreakBefore w:val="0"/>
        <w:numPr>
          <w:ilvl w:val="0"/>
          <w:numId w:val="0"/>
        </w:numPr>
        <w:kinsoku/>
        <w:wordWrap/>
        <w:overflowPunct/>
        <w:topLinePunct w:val="0"/>
        <w:autoSpaceDE/>
        <w:autoSpaceDN/>
        <w:bidi w:val="0"/>
        <w:adjustRightInd/>
        <w:snapToGrid/>
        <w:spacing w:line="590" w:lineRule="exact"/>
        <w:ind w:leftChars="200"/>
        <w:textAlignment w:val="auto"/>
        <w:rPr>
          <w:rFonts w:hint="eastAsia" w:ascii="Times New Roman" w:hAnsi="Times New Roman" w:eastAsia="黑体"/>
          <w:sz w:val="32"/>
          <w:szCs w:val="32"/>
          <w:lang w:eastAsia="zh-CN"/>
        </w:rPr>
      </w:pPr>
      <w:r>
        <w:rPr>
          <w:rFonts w:hint="eastAsia" w:ascii="Times New Roman" w:hAnsi="Times New Roman" w:eastAsia="黑体"/>
          <w:sz w:val="32"/>
          <w:szCs w:val="32"/>
          <w:lang w:eastAsia="zh-CN"/>
        </w:rPr>
        <w:t>三、风险补偿标准</w:t>
      </w:r>
    </w:p>
    <w:p>
      <w:pPr>
        <w:pStyle w:val="2"/>
        <w:keepNext w:val="0"/>
        <w:keepLines w:val="0"/>
        <w:pageBreakBefore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单户企业纳入风险补偿的科技成果转化贷款年度余额不超过2000万元。省级财政按备案贷款不良本金给予35%的风险补偿；市级风险补偿比例由各市根据实际情况确定，原则上不低于备案贷款不良本金的35%。剩余贷款损失由贷款银行承担。</w:t>
      </w:r>
    </w:p>
    <w:p>
      <w:pPr>
        <w:pStyle w:val="2"/>
        <w:keepNext w:val="0"/>
        <w:keepLines w:val="0"/>
        <w:pageBreakBefore w:val="0"/>
        <w:kinsoku/>
        <w:wordWrap/>
        <w:overflowPunct/>
        <w:topLinePunct w:val="0"/>
        <w:autoSpaceDE/>
        <w:autoSpaceDN/>
        <w:bidi w:val="0"/>
        <w:adjustRightInd/>
        <w:snapToGrid/>
        <w:spacing w:line="590" w:lineRule="exact"/>
        <w:textAlignment w:val="auto"/>
        <w:rPr>
          <w:rFonts w:hint="eastAsia" w:ascii="仿宋_GB2312" w:hAnsi="楷体" w:eastAsia="仿宋_GB2312" w:cstheme="minorBidi"/>
          <w:kern w:val="2"/>
          <w:sz w:val="32"/>
          <w:szCs w:val="32"/>
          <w:lang w:val="en-US" w:eastAsia="zh-CN" w:bidi="ar-SA"/>
        </w:rPr>
      </w:pPr>
    </w:p>
    <w:p>
      <w:pPr>
        <w:pStyle w:val="2"/>
        <w:keepNext w:val="0"/>
        <w:keepLines w:val="0"/>
        <w:pageBreakBefore w:val="0"/>
        <w:kinsoku/>
        <w:wordWrap/>
        <w:overflowPunct/>
        <w:topLinePunct w:val="0"/>
        <w:autoSpaceDE/>
        <w:autoSpaceDN/>
        <w:bidi w:val="0"/>
        <w:adjustRightInd/>
        <w:snapToGrid/>
        <w:spacing w:line="590" w:lineRule="exact"/>
        <w:textAlignment w:val="auto"/>
        <w:rPr>
          <w:rFonts w:hint="eastAsia" w:ascii="CESI楷体-GB2312" w:hAnsi="CESI楷体-GB2312" w:eastAsia="CESI楷体-GB2312" w:cs="CESI楷体-GB2312"/>
          <w:kern w:val="2"/>
          <w:sz w:val="32"/>
          <w:szCs w:val="32"/>
          <w:lang w:val="en-US" w:eastAsia="zh-CN" w:bidi="ar-SA"/>
        </w:rPr>
      </w:pPr>
      <w:r>
        <w:rPr>
          <w:rFonts w:hint="eastAsia" w:ascii="CESI楷体-GB2312" w:hAnsi="CESI楷体-GB2312" w:eastAsia="CESI楷体-GB2312" w:cs="CESI楷体-GB2312"/>
          <w:kern w:val="2"/>
          <w:sz w:val="32"/>
          <w:szCs w:val="32"/>
          <w:lang w:val="en-US" w:eastAsia="zh-CN" w:bidi="ar-SA"/>
        </w:rPr>
        <w:t>主办单位：市科学技术局   联系电话：8385659</w:t>
      </w:r>
    </w:p>
    <w:p>
      <w:pPr>
        <w:pStyle w:val="2"/>
        <w:keepNext w:val="0"/>
        <w:keepLines w:val="0"/>
        <w:pageBreakBefore w:val="0"/>
        <w:kinsoku/>
        <w:wordWrap/>
        <w:overflowPunct/>
        <w:topLinePunct w:val="0"/>
        <w:autoSpaceDE/>
        <w:autoSpaceDN/>
        <w:bidi w:val="0"/>
        <w:adjustRightInd/>
        <w:snapToGrid/>
        <w:spacing w:line="590" w:lineRule="exact"/>
        <w:ind w:firstLine="360"/>
        <w:textAlignment w:val="auto"/>
        <w:sectPr>
          <w:pgSz w:w="11906" w:h="16838"/>
          <w:pgMar w:top="1587" w:right="1474" w:bottom="147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br w:type="page"/>
      </w:r>
    </w:p>
    <w:p>
      <w:pPr>
        <w:pStyle w:val="2"/>
        <w:keepNext w:val="0"/>
        <w:keepLines w:val="0"/>
        <w:pageBreakBefore w:val="0"/>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i w:val="0"/>
          <w:caps w:val="0"/>
          <w:color w:val="333333"/>
          <w:spacing w:val="0"/>
          <w:kern w:val="0"/>
          <w:sz w:val="36"/>
          <w:szCs w:val="36"/>
          <w:shd w:val="clear" w:color="auto" w:fill="FEFEFE"/>
          <w:lang w:val="en-US" w:eastAsia="zh-CN" w:bidi="ar"/>
        </w:rPr>
      </w:pPr>
    </w:p>
    <w:p>
      <w:pPr>
        <w:pageBreakBefore w:val="0"/>
        <w:kinsoku/>
        <w:wordWrap/>
        <w:overflowPunct/>
        <w:topLinePunct w:val="0"/>
        <w:bidi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lang w:val="en"/>
        </w:rPr>
      </w:pPr>
      <w:bookmarkStart w:id="16" w:name="_Toc13892"/>
      <w:r>
        <w:rPr>
          <w:rFonts w:hint="eastAsia" w:ascii="方正小标宋简体" w:hAnsi="方正小标宋简体" w:eastAsia="方正小标宋简体" w:cs="方正小标宋简体"/>
          <w:b w:val="0"/>
          <w:bCs w:val="0"/>
          <w:sz w:val="36"/>
          <w:szCs w:val="36"/>
          <w:lang w:val="en"/>
        </w:rPr>
        <w:t>科技成果转化贷款贴息</w:t>
      </w:r>
      <w:bookmarkEnd w:id="16"/>
    </w:p>
    <w:p>
      <w:pPr>
        <w:pStyle w:val="2"/>
        <w:pageBreakBefore w:val="0"/>
        <w:kinsoku/>
        <w:wordWrap/>
        <w:overflowPunct/>
        <w:topLinePunct w:val="0"/>
        <w:bidi w:val="0"/>
        <w:spacing w:line="590" w:lineRule="exact"/>
        <w:ind w:firstLine="640" w:firstLineChars="200"/>
        <w:rPr>
          <w:rFonts w:hint="eastAsia" w:ascii="Times New Roman" w:hAnsi="Times New Roman" w:eastAsia="黑体"/>
          <w:sz w:val="32"/>
          <w:szCs w:val="32"/>
        </w:rPr>
      </w:pPr>
    </w:p>
    <w:p>
      <w:pPr>
        <w:pStyle w:val="2"/>
        <w:pageBreakBefore w:val="0"/>
        <w:kinsoku/>
        <w:wordWrap/>
        <w:overflowPunct/>
        <w:topLinePunct w:val="0"/>
        <w:bidi w:val="0"/>
        <w:spacing w:line="590" w:lineRule="exact"/>
        <w:ind w:firstLine="640" w:firstLineChars="200"/>
        <w:rPr>
          <w:rFonts w:ascii="CESI仿宋-GB2312" w:hAnsi="CESI仿宋-GB2312" w:eastAsia="CESI仿宋-GB2312" w:cs="CESI仿宋-GB2312"/>
          <w:sz w:val="32"/>
          <w:szCs w:val="32"/>
        </w:rPr>
      </w:pPr>
      <w:r>
        <w:rPr>
          <w:rFonts w:hint="eastAsia" w:ascii="Times New Roman" w:hAnsi="Times New Roman" w:eastAsia="黑体"/>
          <w:sz w:val="32"/>
          <w:szCs w:val="32"/>
        </w:rPr>
        <w:t>一、服务对象和范围</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首次纳入科技成果转化贷款风险补偿备案并按时还本付息的企业。备案认定周期自上年10月1日至当年9月30日，具体时间以省科技厅科技成果转化贷款风险补偿备案公告为准。企业可选择备案认定周期内的一笔科技成果转化贷款享受利息补贴。</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Times New Roman" w:hAnsi="Times New Roman" w:eastAsia="黑体"/>
          <w:sz w:val="32"/>
          <w:szCs w:val="32"/>
          <w:lang w:val="en-US" w:eastAsia="zh-CN"/>
        </w:rPr>
        <w:t>二</w:t>
      </w:r>
      <w:r>
        <w:rPr>
          <w:rFonts w:hint="eastAsia" w:ascii="Times New Roman" w:hAnsi="Times New Roman" w:eastAsia="黑体"/>
          <w:sz w:val="32"/>
          <w:szCs w:val="32"/>
        </w:rPr>
        <w:t>、政策名称或政策依据</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2021年8月31日，山东省科学技术厅、山东省财政厅出台了《山东省科技成果转化贷款贴息实施细则（暂行）》鲁科字〔2021〕82号。文件有效期，2021年9月1日至2023年8月31日。</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CESI仿宋-GB2312" w:hAnsi="CESI仿宋-GB2312" w:eastAsia="CESI仿宋-GB2312" w:cs="CESI仿宋-GB2312"/>
          <w:sz w:val="32"/>
          <w:szCs w:val="32"/>
        </w:rPr>
      </w:pPr>
      <w:r>
        <w:rPr>
          <w:rFonts w:hint="eastAsia" w:ascii="Times New Roman" w:hAnsi="Times New Roman" w:eastAsia="黑体"/>
          <w:sz w:val="32"/>
          <w:szCs w:val="32"/>
          <w:lang w:val="en-US" w:eastAsia="zh-CN"/>
        </w:rPr>
        <w:t>三</w:t>
      </w:r>
      <w:r>
        <w:rPr>
          <w:rFonts w:hint="eastAsia" w:ascii="Times New Roman" w:hAnsi="Times New Roman" w:eastAsia="黑体"/>
          <w:sz w:val="32"/>
          <w:szCs w:val="32"/>
        </w:rPr>
        <w:t>、政策措施内容及标准</w:t>
      </w:r>
      <w:r>
        <w:rPr>
          <w:rFonts w:hint="eastAsia"/>
        </w:rPr>
        <w:t xml:space="preserve"> </w:t>
      </w:r>
    </w:p>
    <w:p>
      <w:pPr>
        <w:pStyle w:val="2"/>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贷款贴息按企业完成还本付息后，实际支付贷款利息的40%进行补贴，每家企业最高贴息50万元。实际支付贷款利息以企业付息凭证为准，每家企业只享受一次利息补贴。</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sz w:val="32"/>
          <w:szCs w:val="32"/>
          <w:lang w:val="en-US" w:eastAsia="zh-CN"/>
        </w:rPr>
      </w:pPr>
      <w:r>
        <w:rPr>
          <w:rFonts w:hint="eastAsia" w:ascii="Times New Roman" w:hAnsi="Times New Roman" w:eastAsia="黑体"/>
          <w:sz w:val="32"/>
          <w:szCs w:val="32"/>
          <w:lang w:val="en-US" w:eastAsia="zh-CN"/>
        </w:rPr>
        <w:t>四、申报办理流程</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贷款贴息申报工作由省科技厅和各设区市科技局共同组织实施。申报流程如下：</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 发布通知。省科技厅发布贷款贴息申报通知。</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 企业申报。各设区市科技局根据申报通知组织属地内符合条件企业进行线上申报，企业按照要求填报信息并完成提交。</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 申报审核。各设区市科技局对属地企业填报的贷款贴息申报信息进行审核并提交省科技厅审核。</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4.复核。省科技厅对全省贷款贴息申报信息向贷款银行复核。</w:t>
      </w:r>
    </w:p>
    <w:p>
      <w:pPr>
        <w:pStyle w:val="2"/>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仿宋_GB2312" w:hAnsi="仿宋_GB2312" w:eastAsia="仿宋_GB2312" w:cs="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CESI楷体-GB2312" w:hAnsi="CESI楷体-GB2312" w:eastAsia="CESI楷体-GB2312" w:cs="CESI楷体-GB2312"/>
          <w:color w:val="auto"/>
          <w:kern w:val="2"/>
          <w:sz w:val="32"/>
          <w:szCs w:val="32"/>
          <w:lang w:val="en-US" w:eastAsia="zh-CN" w:bidi="ar-SA"/>
        </w:rPr>
      </w:pPr>
      <w:r>
        <w:rPr>
          <w:rFonts w:hint="eastAsia" w:ascii="CESI楷体-GB2312" w:hAnsi="CESI楷体-GB2312" w:eastAsia="CESI楷体-GB2312" w:cs="CESI楷体-GB2312"/>
          <w:color w:val="auto"/>
          <w:kern w:val="2"/>
          <w:sz w:val="32"/>
          <w:szCs w:val="32"/>
          <w:lang w:val="en-US" w:eastAsia="zh-CN" w:bidi="ar-SA"/>
        </w:rPr>
        <w:t>主办单位：市科学技术局   联系电话：838565</w:t>
      </w:r>
    </w:p>
    <w:p>
      <w:pPr>
        <w:pStyle w:val="2"/>
        <w:keepNext w:val="0"/>
        <w:keepLines w:val="0"/>
        <w:pageBreakBefore w:val="0"/>
        <w:kinsoku/>
        <w:wordWrap/>
        <w:overflowPunct/>
        <w:topLinePunct w:val="0"/>
        <w:autoSpaceDE/>
        <w:autoSpaceDN/>
        <w:bidi w:val="0"/>
        <w:adjustRightInd/>
        <w:snapToGrid/>
        <w:spacing w:line="590" w:lineRule="exact"/>
        <w:jc w:val="center"/>
        <w:textAlignment w:val="auto"/>
        <w:outlineLvl w:val="9"/>
        <w:rPr>
          <w:rFonts w:hint="eastAsia" w:ascii="方正小标宋简体" w:hAnsi="方正小标宋简体" w:eastAsia="方正小标宋简体" w:cs="方正小标宋简体"/>
          <w:b w:val="0"/>
          <w:bCs w:val="0"/>
          <w:i w:val="0"/>
          <w:caps w:val="0"/>
          <w:color w:val="333333"/>
          <w:spacing w:val="0"/>
          <w:kern w:val="0"/>
          <w:sz w:val="36"/>
          <w:szCs w:val="36"/>
          <w:shd w:val="clear" w:color="auto" w:fill="FEFEFE"/>
          <w:lang w:val="en-US" w:eastAsia="zh-CN" w:bidi="ar"/>
        </w:rPr>
      </w:pPr>
    </w:p>
    <w:p>
      <w:pPr>
        <w:pStyle w:val="2"/>
        <w:pageBreakBefore w:val="0"/>
        <w:kinsoku/>
        <w:wordWrap/>
        <w:overflowPunct/>
        <w:topLinePunct w:val="0"/>
        <w:bidi w:val="0"/>
        <w:spacing w:line="590" w:lineRule="exact"/>
        <w:ind w:firstLine="360"/>
        <w:outlineLvl w:val="9"/>
      </w:pPr>
    </w:p>
    <w:p>
      <w:pPr>
        <w:pStyle w:val="20"/>
        <w:pageBreakBefore w:val="0"/>
        <w:kinsoku/>
        <w:wordWrap/>
        <w:overflowPunct/>
        <w:topLinePunct w:val="0"/>
        <w:bidi w:val="0"/>
        <w:spacing w:before="0" w:after="0" w:line="590" w:lineRule="exact"/>
        <w:ind w:firstLine="0" w:firstLineChars="0"/>
        <w:jc w:val="both"/>
        <w:outlineLvl w:val="9"/>
        <w:rPr>
          <w:rFonts w:ascii="方正小标宋简体" w:eastAsia="方正小标宋简体"/>
          <w:b w:val="0"/>
          <w:sz w:val="44"/>
          <w:szCs w:val="44"/>
        </w:rPr>
      </w:pPr>
      <w:bookmarkStart w:id="17" w:name="_Toc11972_WPSOffice_Level1"/>
    </w:p>
    <w:p>
      <w:pPr>
        <w:pStyle w:val="20"/>
        <w:pageBreakBefore w:val="0"/>
        <w:kinsoku/>
        <w:wordWrap/>
        <w:overflowPunct/>
        <w:topLinePunct w:val="0"/>
        <w:bidi w:val="0"/>
        <w:spacing w:before="0" w:after="0" w:line="590" w:lineRule="exact"/>
        <w:ind w:firstLine="0" w:firstLineChars="0"/>
        <w:outlineLvl w:val="9"/>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outlineLvl w:val="9"/>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outlineLvl w:val="9"/>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outlineLvl w:val="9"/>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outlineLvl w:val="9"/>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outlineLvl w:val="9"/>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outlineLvl w:val="9"/>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outlineLvl w:val="9"/>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outlineLvl w:val="9"/>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outlineLvl w:val="9"/>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outlineLvl w:val="9"/>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outlineLvl w:val="9"/>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outlineLvl w:val="9"/>
        <w:rPr>
          <w:rFonts w:hint="eastAsia" w:ascii="方正小标宋简体" w:hAnsi="方正小标宋简体" w:eastAsia="方正小标宋简体" w:cs="方正小标宋简体"/>
          <w:b w:val="0"/>
          <w:bCs w:val="0"/>
          <w:sz w:val="36"/>
          <w:szCs w:val="36"/>
          <w:lang w:val="en"/>
        </w:rPr>
      </w:pPr>
    </w:p>
    <w:p>
      <w:pPr>
        <w:pStyle w:val="20"/>
        <w:pageBreakBefore w:val="0"/>
        <w:kinsoku/>
        <w:wordWrap/>
        <w:overflowPunct/>
        <w:topLinePunct w:val="0"/>
        <w:bidi w:val="0"/>
        <w:spacing w:before="0" w:after="0" w:line="590" w:lineRule="exact"/>
        <w:ind w:firstLine="0" w:firstLineChars="0"/>
        <w:jc w:val="center"/>
        <w:outlineLvl w:val="1"/>
        <w:rPr>
          <w:rFonts w:hint="eastAsia" w:ascii="方正小标宋简体" w:hAnsi="方正小标宋简体" w:eastAsia="方正小标宋简体" w:cs="方正小标宋简体"/>
          <w:b w:val="0"/>
          <w:bCs w:val="0"/>
          <w:sz w:val="36"/>
          <w:szCs w:val="36"/>
          <w:highlight w:val="none"/>
          <w:lang w:val="en" w:eastAsia="zh-CN"/>
        </w:rPr>
      </w:pPr>
      <w:bookmarkStart w:id="18" w:name="_Toc22244"/>
      <w:r>
        <w:rPr>
          <w:rFonts w:hint="eastAsia" w:ascii="方正小标宋简体" w:hAnsi="方正小标宋简体" w:eastAsia="方正小标宋简体" w:cs="方正小标宋简体"/>
          <w:b w:val="0"/>
          <w:bCs w:val="0"/>
          <w:sz w:val="36"/>
          <w:szCs w:val="36"/>
          <w:highlight w:val="none"/>
          <w:lang w:val="en"/>
        </w:rPr>
        <w:t>“技改专项贷”贴息和担保补助</w:t>
      </w:r>
      <w:r>
        <w:rPr>
          <w:rFonts w:hint="eastAsia" w:ascii="方正小标宋简体" w:hAnsi="方正小标宋简体" w:eastAsia="方正小标宋简体" w:cs="方正小标宋简体"/>
          <w:b w:val="0"/>
          <w:bCs w:val="0"/>
          <w:sz w:val="36"/>
          <w:szCs w:val="36"/>
          <w:highlight w:val="none"/>
          <w:lang w:val="en" w:eastAsia="zh-CN"/>
        </w:rPr>
        <w:t>政策</w:t>
      </w:r>
      <w:bookmarkEnd w:id="18"/>
    </w:p>
    <w:p>
      <w:pPr>
        <w:pStyle w:val="20"/>
        <w:pageBreakBefore w:val="0"/>
        <w:kinsoku/>
        <w:wordWrap/>
        <w:overflowPunct/>
        <w:topLinePunct w:val="0"/>
        <w:bidi w:val="0"/>
        <w:spacing w:before="0" w:after="0" w:line="590" w:lineRule="exact"/>
        <w:ind w:firstLine="0" w:firstLineChars="0"/>
        <w:outlineLvl w:val="9"/>
        <w:rPr>
          <w:rFonts w:hint="eastAsia" w:ascii="Times New Roman" w:hAnsi="Times New Roman" w:eastAsia="黑体"/>
          <w:sz w:val="32"/>
          <w:szCs w:val="32"/>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theme="minorBidi"/>
          <w:kern w:val="2"/>
          <w:sz w:val="32"/>
          <w:szCs w:val="32"/>
          <w:lang w:val="en-US" w:eastAsia="zh-CN" w:bidi="ar-SA"/>
        </w:rPr>
      </w:pPr>
      <w:bookmarkStart w:id="19" w:name="_Toc1179"/>
      <w:r>
        <w:rPr>
          <w:rFonts w:hint="eastAsia" w:ascii="Times New Roman" w:hAnsi="Times New Roman" w:eastAsia="黑体" w:cstheme="minorBidi"/>
          <w:kern w:val="2"/>
          <w:sz w:val="32"/>
          <w:szCs w:val="32"/>
          <w:lang w:val="en-US" w:eastAsia="zh-CN" w:bidi="ar-SA"/>
        </w:rPr>
        <w:t>一、服务对象和范围</w:t>
      </w:r>
      <w:bookmarkEnd w:id="19"/>
    </w:p>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  </w:t>
      </w:r>
      <w:bookmarkStart w:id="20" w:name="_Toc23934"/>
      <w:r>
        <w:rPr>
          <w:rFonts w:hint="eastAsia" w:ascii="仿宋_GB2312" w:hAnsi="仿宋_GB2312" w:eastAsia="仿宋_GB2312" w:cs="仿宋_GB2312"/>
          <w:color w:val="auto"/>
          <w:kern w:val="2"/>
          <w:sz w:val="32"/>
          <w:szCs w:val="32"/>
          <w:lang w:val="en-US" w:eastAsia="zh-CN" w:bidi="ar-SA"/>
        </w:rPr>
        <w:t>“技改专项贷”主要用于企业采用新技术、新工艺、新设备、新材料对现有设施、工艺条件及生产服务等进行改造提升，淘汰落后产能，实现内涵式发展的投资活动。</w:t>
      </w:r>
      <w:bookmarkEnd w:id="20"/>
    </w:p>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享受省级“技改专项贷”支持的项目，须为省级统计体系和省级技改导向目录项目库，且在我省依法办理核准备案等手续、符合“绿色门槛”要求的重大技术改造项目。项目总投资额原则上不得低于5000万元(工业副产氢企业新增氢纯化设备实施的技术改造项目总投资额不设限)。鼓励各市对投资 5000 万元以下的技术改造项目给予相关政策支持。</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theme="minorBidi"/>
          <w:kern w:val="2"/>
          <w:sz w:val="32"/>
          <w:szCs w:val="32"/>
          <w:lang w:val="en-US" w:eastAsia="zh-CN" w:bidi="ar-SA"/>
        </w:rPr>
      </w:pPr>
      <w:r>
        <w:rPr>
          <w:rFonts w:hint="eastAsia" w:ascii="Times New Roman" w:hAnsi="Times New Roman" w:eastAsia="黑体" w:cstheme="minorBidi"/>
          <w:kern w:val="2"/>
          <w:sz w:val="32"/>
          <w:szCs w:val="32"/>
          <w:lang w:val="en-US" w:eastAsia="zh-CN" w:bidi="ar-SA"/>
        </w:rPr>
        <w:t>二、政策名称或政策依据</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仿宋_GB2312" w:hAnsi="仿宋_GB2312" w:eastAsia="仿宋_GB2312" w:cs="仿宋_GB2312"/>
          <w:color w:val="auto"/>
          <w:kern w:val="2"/>
          <w:sz w:val="32"/>
          <w:szCs w:val="32"/>
          <w:lang w:val="en-US" w:eastAsia="zh-CN" w:bidi="ar-SA"/>
        </w:rPr>
      </w:pPr>
      <w:bookmarkStart w:id="21" w:name="_Toc22479"/>
      <w:r>
        <w:rPr>
          <w:rFonts w:hint="eastAsia" w:ascii="仿宋_GB2312" w:hAnsi="仿宋_GB2312" w:eastAsia="仿宋_GB2312" w:cs="仿宋_GB2312"/>
          <w:color w:val="auto"/>
          <w:kern w:val="2"/>
          <w:sz w:val="32"/>
          <w:szCs w:val="32"/>
          <w:lang w:val="en-US" w:eastAsia="zh-CN" w:bidi="ar-SA"/>
        </w:rPr>
        <w:t>2021年8月31日，山东省财政厅、山东省工业和信息化厅、山东省地方金融监督管理局、国家税务总局山东省税务局、中国人民银行济南分行出台了《省级“技改专项贷”贴息和担保补助管理实施细则》鲁财工〔2022〕2号。文件有效期，2022年3月1日至2024年1月31日。</w:t>
      </w:r>
      <w:bookmarkEnd w:id="21"/>
    </w:p>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Times New Roman" w:hAnsi="Times New Roman" w:eastAsia="黑体" w:cstheme="minorBidi"/>
          <w:kern w:val="2"/>
          <w:sz w:val="32"/>
          <w:szCs w:val="32"/>
          <w:lang w:val="en-US" w:eastAsia="zh-CN" w:bidi="ar-SA"/>
        </w:rPr>
      </w:pPr>
      <w:bookmarkStart w:id="22" w:name="_Toc14176"/>
      <w:r>
        <w:rPr>
          <w:rFonts w:hint="eastAsia" w:ascii="Times New Roman" w:hAnsi="Times New Roman" w:eastAsia="黑体" w:cstheme="minorBidi"/>
          <w:kern w:val="2"/>
          <w:sz w:val="32"/>
          <w:szCs w:val="32"/>
          <w:lang w:val="en-US" w:eastAsia="zh-CN" w:bidi="ar-SA"/>
        </w:rPr>
        <w:t>三、政策措施内容及标准</w:t>
      </w:r>
      <w:bookmarkEnd w:id="22"/>
    </w:p>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仿宋_GB2312" w:hAnsi="仿宋_GB2312" w:eastAsia="仿宋_GB2312" w:cs="仿宋_GB2312"/>
          <w:color w:val="auto"/>
          <w:kern w:val="2"/>
          <w:sz w:val="32"/>
          <w:szCs w:val="32"/>
          <w:lang w:val="en-US" w:eastAsia="zh-CN" w:bidi="ar-SA"/>
        </w:rPr>
      </w:pPr>
      <w:bookmarkStart w:id="23" w:name="_Toc21707"/>
      <w:r>
        <w:rPr>
          <w:rFonts w:hint="eastAsia" w:ascii="仿宋_GB2312" w:hAnsi="仿宋_GB2312" w:eastAsia="仿宋_GB2312" w:cs="仿宋_GB2312"/>
          <w:color w:val="auto"/>
          <w:kern w:val="2"/>
          <w:sz w:val="32"/>
          <w:szCs w:val="32"/>
          <w:lang w:val="en-US" w:eastAsia="zh-CN" w:bidi="ar-SA"/>
        </w:rPr>
        <w:t>对纳入省级“技改专项贷”项目库中的项目，省财政按照银行最新一期的一年期贷款市场报价利率(LPR)的35% 给予贴息支持，单个企业项目的贴息上限为2000万元(工业副 产氢企业项目的贴息上限为500万元)，期限不超过3年。同一独立法人每年享受省级“技改专项贷”政策限定为1个。</w:t>
      </w:r>
      <w:bookmarkEnd w:id="23"/>
    </w:p>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仿宋_GB2312" w:hAnsi="仿宋_GB2312" w:eastAsia="仿宋_GB2312" w:cs="仿宋_GB2312"/>
          <w:color w:val="auto"/>
          <w:kern w:val="2"/>
          <w:sz w:val="32"/>
          <w:szCs w:val="32"/>
          <w:lang w:val="en-US" w:eastAsia="zh-CN" w:bidi="ar-SA"/>
        </w:rPr>
      </w:pPr>
      <w:bookmarkStart w:id="24" w:name="_Toc4387"/>
      <w:r>
        <w:rPr>
          <w:rFonts w:hint="eastAsia" w:ascii="仿宋_GB2312" w:hAnsi="仿宋_GB2312" w:eastAsia="仿宋_GB2312" w:cs="仿宋_GB2312"/>
          <w:color w:val="auto"/>
          <w:kern w:val="2"/>
          <w:sz w:val="32"/>
          <w:szCs w:val="32"/>
          <w:lang w:val="en-US" w:eastAsia="zh-CN" w:bidi="ar-SA"/>
        </w:rPr>
        <w:t>对融资担保公司为“技改专项贷”项目提供担保且担保费率不超过1%的，省财政按不超过担保金额的0.5%给予补助，单个企业项目担保补助上限为100万元，期限不超过3年。</w:t>
      </w:r>
      <w:bookmarkEnd w:id="24"/>
    </w:p>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针对省级“技改专项贷”的贷款利率上限不超过同期 贷款市场报价利率(LPR)加 40 个BP。</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仿宋_GB2312" w:hAnsi="仿宋_GB2312" w:eastAsia="仿宋_GB2312" w:cs="仿宋_GB2312"/>
          <w:color w:val="auto"/>
          <w:kern w:val="2"/>
          <w:sz w:val="32"/>
          <w:szCs w:val="32"/>
          <w:lang w:val="en-US" w:eastAsia="zh-CN" w:bidi="ar-SA"/>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CESI楷体-GB2312" w:hAnsi="CESI楷体-GB2312" w:eastAsia="CESI楷体-GB2312" w:cs="CESI楷体-GB2312"/>
          <w:color w:val="auto"/>
          <w:kern w:val="2"/>
          <w:sz w:val="32"/>
          <w:szCs w:val="32"/>
          <w:lang w:val="en-US" w:eastAsia="zh-CN" w:bidi="ar-SA"/>
        </w:rPr>
      </w:pPr>
      <w:r>
        <w:rPr>
          <w:rFonts w:hint="eastAsia" w:ascii="CESI楷体-GB2312" w:hAnsi="CESI楷体-GB2312" w:eastAsia="CESI楷体-GB2312" w:cs="CESI楷体-GB2312"/>
          <w:color w:val="auto"/>
          <w:kern w:val="2"/>
          <w:sz w:val="32"/>
          <w:szCs w:val="32"/>
          <w:lang w:val="en-US" w:eastAsia="zh-CN" w:bidi="ar-SA"/>
        </w:rPr>
        <w:t>主办单位：市工业和信息化局，联系电话8338080</w:t>
      </w: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ascii="方正小标宋简体" w:eastAsia="方正小标宋简体"/>
          <w:b w:val="0"/>
          <w:sz w:val="44"/>
          <w:szCs w:val="44"/>
        </w:rPr>
      </w:pPr>
      <w:bookmarkStart w:id="25" w:name="_Toc19851"/>
      <w:r>
        <w:rPr>
          <w:rFonts w:hint="eastAsia" w:ascii="方正小标宋简体" w:eastAsia="方正小标宋简体"/>
          <w:b w:val="0"/>
          <w:sz w:val="44"/>
          <w:szCs w:val="44"/>
        </w:rPr>
        <w:t>第二篇：资本市场篇</w:t>
      </w:r>
      <w:bookmarkEnd w:id="25"/>
    </w:p>
    <w:p>
      <w:pPr>
        <w:pStyle w:val="2"/>
        <w:pageBreakBefore w:val="0"/>
        <w:kinsoku/>
        <w:wordWrap/>
        <w:overflowPunct/>
        <w:topLinePunct w:val="0"/>
        <w:bidi w:val="0"/>
        <w:spacing w:line="590" w:lineRule="exact"/>
        <w:ind w:firstLine="360"/>
      </w:pPr>
    </w:p>
    <w:p>
      <w:pPr>
        <w:pStyle w:val="2"/>
        <w:pageBreakBefore w:val="0"/>
        <w:kinsoku/>
        <w:wordWrap/>
        <w:overflowPunct/>
        <w:topLinePunct w:val="0"/>
        <w:bidi w:val="0"/>
        <w:spacing w:line="590" w:lineRule="exact"/>
        <w:ind w:firstLine="360"/>
      </w:pPr>
    </w:p>
    <w:p>
      <w:pPr>
        <w:pageBreakBefore w:val="0"/>
        <w:kinsoku/>
        <w:wordWrap/>
        <w:overflowPunct/>
        <w:topLinePunct w:val="0"/>
        <w:bidi w:val="0"/>
        <w:spacing w:line="590" w:lineRule="exact"/>
        <w:rPr>
          <w:rFonts w:hint="eastAsia" w:ascii="方正小标宋简体" w:hAnsi="Times New Roman" w:eastAsia="方正小标宋简体" w:cs="Times New Roman"/>
          <w:szCs w:val="44"/>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方正小标宋简体" w:hAnsi="Times New Roman" w:eastAsia="方正小标宋简体" w:cs="Times New Roman"/>
          <w:szCs w:val="44"/>
        </w:rPr>
        <w:br w:type="page"/>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36"/>
          <w:szCs w:val="36"/>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1"/>
        <w:rPr>
          <w:rFonts w:hint="eastAsia" w:ascii="方正小标宋简体" w:hAnsi="方正小标宋简体" w:eastAsia="方正小标宋简体" w:cs="方正小标宋简体"/>
          <w:sz w:val="36"/>
          <w:szCs w:val="36"/>
        </w:rPr>
      </w:pPr>
      <w:bookmarkStart w:id="26" w:name="_Toc18733"/>
      <w:r>
        <w:rPr>
          <w:rFonts w:hint="eastAsia" w:ascii="方正小标宋简体" w:hAnsi="方正小标宋简体" w:eastAsia="方正小标宋简体" w:cs="方正小标宋简体"/>
          <w:sz w:val="36"/>
          <w:szCs w:val="36"/>
        </w:rPr>
        <w:t>支持企业上市挂牌十条措施</w:t>
      </w:r>
      <w:bookmarkEnd w:id="26"/>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CESI仿宋-GB2312" w:hAnsi="CESI仿宋-GB2312" w:eastAsia="CESI仿宋-GB2312" w:cs="CESI仿宋-GB2312"/>
          <w:sz w:val="32"/>
          <w:szCs w:val="32"/>
          <w:lang w:val="en-US" w:eastAsia="zh-CN"/>
        </w:rPr>
      </w:pPr>
      <w:r>
        <w:rPr>
          <w:rFonts w:hint="eastAsia" w:ascii="Times New Roman" w:hAnsi="Times New Roman" w:eastAsia="黑体" w:cs="Times New Roman"/>
          <w:color w:val="auto"/>
          <w:kern w:val="2"/>
          <w:sz w:val="32"/>
          <w:szCs w:val="32"/>
          <w:lang w:val="en-US" w:eastAsia="zh-CN" w:bidi="ar-SA"/>
        </w:rPr>
        <w:t>一、服务对象和范围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left"/>
        <w:textAlignment w:val="auto"/>
        <w:rPr>
          <w:rFonts w:hint="eastAsia" w:ascii="CESI仿宋-GB2312" w:hAnsi="CESI仿宋-GB2312" w:eastAsia="CESI仿宋-GB2312" w:cs="CESI仿宋-GB2312"/>
          <w:color w:val="auto"/>
          <w:kern w:val="2"/>
          <w:sz w:val="32"/>
          <w:szCs w:val="32"/>
          <w:lang w:val="en-US" w:eastAsia="zh-CN" w:bidi="ar-SA"/>
        </w:rPr>
      </w:pPr>
      <w:r>
        <w:rPr>
          <w:rFonts w:hint="eastAsia" w:ascii="CESI仿宋-GB2312" w:hAnsi="CESI仿宋-GB2312" w:eastAsia="CESI仿宋-GB2312" w:cs="CESI仿宋-GB2312"/>
          <w:color w:val="auto"/>
          <w:kern w:val="2"/>
          <w:sz w:val="32"/>
          <w:szCs w:val="32"/>
          <w:lang w:val="en-US" w:eastAsia="zh-CN" w:bidi="ar-SA"/>
        </w:rPr>
        <w:t>拟上市挂牌企业。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val="en-US" w:eastAsia="zh-CN"/>
        </w:rPr>
        <w:t>二</w:t>
      </w:r>
      <w:r>
        <w:rPr>
          <w:rFonts w:hint="eastAsia" w:ascii="Times New Roman" w:hAnsi="Times New Roman" w:eastAsia="黑体" w:cs="Times New Roman"/>
          <w:sz w:val="32"/>
          <w:szCs w:val="32"/>
          <w:lang w:eastAsia="zh-CN"/>
        </w:rPr>
        <w:t>、</w:t>
      </w:r>
      <w:r>
        <w:rPr>
          <w:rFonts w:hint="eastAsia" w:ascii="Times New Roman" w:hAnsi="Times New Roman" w:eastAsia="黑体" w:cs="Times New Roman"/>
          <w:sz w:val="32"/>
          <w:szCs w:val="32"/>
        </w:rPr>
        <w:t>政策名称</w:t>
      </w:r>
      <w:r>
        <w:rPr>
          <w:rFonts w:hint="eastAsia" w:ascii="Times New Roman" w:hAnsi="Times New Roman" w:eastAsia="黑体" w:cs="Times New Roman"/>
          <w:sz w:val="32"/>
          <w:szCs w:val="32"/>
          <w:lang w:eastAsia="zh-CN"/>
        </w:rPr>
        <w:t>或政策依据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CESI仿宋-GB2312" w:hAnsi="CESI仿宋-GB2312" w:eastAsia="CESI仿宋-GB2312" w:cs="CESI仿宋-GB2312"/>
          <w:color w:val="auto"/>
          <w:kern w:val="2"/>
          <w:sz w:val="32"/>
          <w:szCs w:val="32"/>
          <w:lang w:val="en-US" w:eastAsia="zh-CN" w:bidi="ar-SA"/>
        </w:rPr>
      </w:pPr>
      <w:r>
        <w:rPr>
          <w:rFonts w:hint="eastAsia"/>
          <w:lang w:val="en-US" w:eastAsia="zh-CN"/>
        </w:rPr>
        <w:t xml:space="preserve">    </w:t>
      </w:r>
      <w:r>
        <w:rPr>
          <w:rFonts w:hint="eastAsia" w:ascii="CESI仿宋-GB2312" w:hAnsi="CESI仿宋-GB2312" w:eastAsia="CESI仿宋-GB2312" w:cs="CESI仿宋-GB2312"/>
          <w:sz w:val="32"/>
          <w:szCs w:val="32"/>
          <w:lang w:val="en-US" w:eastAsia="zh-CN"/>
        </w:rPr>
        <w:t xml:space="preserve">  2022年6月28日，市政府出台了《关于支持企业上市挂牌的十条措施》（东政发</w:t>
      </w:r>
      <w:r>
        <w:rPr>
          <w:rFonts w:hint="eastAsia" w:ascii="仿宋_GB2312" w:hAnsi="仿宋_GB2312" w:eastAsia="仿宋_GB2312" w:cs="仿宋_GB2312"/>
          <w:sz w:val="32"/>
          <w:szCs w:val="32"/>
          <w:lang w:val="en-US" w:eastAsia="zh-CN"/>
        </w:rPr>
        <w:t>〔2022〕7号</w:t>
      </w:r>
      <w:r>
        <w:rPr>
          <w:rFonts w:hint="eastAsia" w:ascii="CESI仿宋-GB2312" w:hAnsi="CESI仿宋-GB2312" w:eastAsia="CESI仿宋-GB2312" w:cs="CESI仿宋-GB2312"/>
          <w:sz w:val="32"/>
          <w:szCs w:val="32"/>
          <w:lang w:val="en-US" w:eastAsia="zh-CN"/>
        </w:rPr>
        <w:t>）。文件有效期，2022年6月28日至2027年6月27日。</w:t>
      </w:r>
      <w:r>
        <w:rPr>
          <w:rFonts w:hint="eastAsia" w:ascii="Times New Roman" w:hAnsi="Times New Roman" w:eastAsia="黑体" w:cs="Times New Roman"/>
          <w:color w:val="auto"/>
          <w:kern w:val="2"/>
          <w:sz w:val="32"/>
          <w:szCs w:val="32"/>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三、政策措施内容及标准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color w:val="auto"/>
          <w:kern w:val="2"/>
          <w:sz w:val="32"/>
          <w:szCs w:val="32"/>
          <w:lang w:val="en-US" w:eastAsia="zh-CN" w:bidi="ar-SA"/>
        </w:rPr>
      </w:pPr>
      <w:r>
        <w:rPr>
          <w:rFonts w:hint="eastAsia" w:ascii="CESI仿宋-GB2312" w:hAnsi="CESI仿宋-GB2312" w:eastAsia="CESI仿宋-GB2312" w:cs="CESI仿宋-GB2312"/>
          <w:color w:val="auto"/>
          <w:kern w:val="2"/>
          <w:sz w:val="32"/>
          <w:szCs w:val="32"/>
          <w:lang w:val="en-US" w:eastAsia="zh-CN" w:bidi="ar-SA"/>
        </w:rPr>
        <w:t>企业在上海证券交易所、深圳证券交易所、北京证券交易所首发上市的，市财政分阶段给予每家企业总额1000万元的补助。其中，企业完成山东证监局辅导备案并正式进入辅导期后，每家补助200万元；上市申报材料获证监会（交易所）受理后,每家再补助400万元;上市成功后,每家再补助400万元。企业在境外主要证券交易所首发上市融资的，市财政给予每家企业600万元补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color w:val="auto"/>
          <w:kern w:val="2"/>
          <w:sz w:val="32"/>
          <w:szCs w:val="32"/>
          <w:lang w:val="en-US" w:eastAsia="zh-CN" w:bidi="ar-SA"/>
        </w:rPr>
      </w:pPr>
      <w:r>
        <w:rPr>
          <w:rFonts w:hint="eastAsia" w:ascii="CESI仿宋-GB2312" w:hAnsi="CESI仿宋-GB2312" w:eastAsia="CESI仿宋-GB2312" w:cs="CESI仿宋-GB2312"/>
          <w:color w:val="auto"/>
          <w:kern w:val="2"/>
          <w:sz w:val="32"/>
          <w:szCs w:val="32"/>
          <w:lang w:val="en-US" w:eastAsia="zh-CN" w:bidi="ar-SA"/>
        </w:rPr>
        <w:t>外地境内上市公司将注册地和主营业务迁入我市的，市财政给予每家企业700万元补助。迁入企业通过增发、配股、发行可转债等方式实施再融资，当年融资额达到1亿元的，市财政再给予300万元补助。迁入企业应当处于正常经营和正常交易状态，不存在被监管机构、交易所处罚未到期或被交易所实施风险警示等情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color w:val="auto"/>
          <w:kern w:val="2"/>
          <w:sz w:val="32"/>
          <w:szCs w:val="32"/>
          <w:lang w:val="en-US" w:eastAsia="zh-CN" w:bidi="ar-SA"/>
        </w:rPr>
      </w:pPr>
      <w:r>
        <w:rPr>
          <w:rFonts w:hint="eastAsia" w:ascii="CESI仿宋-GB2312" w:hAnsi="CESI仿宋-GB2312" w:eastAsia="CESI仿宋-GB2312" w:cs="CESI仿宋-GB2312"/>
          <w:color w:val="auto"/>
          <w:kern w:val="2"/>
          <w:sz w:val="32"/>
          <w:szCs w:val="32"/>
          <w:lang w:val="en-US" w:eastAsia="zh-CN" w:bidi="ar-SA"/>
        </w:rPr>
        <w:t>企业在全国中小企业股份转让系统基础层、创新层挂牌并在当年进行直接融资的，市财政给予每家企业100万元、200万元补助。企业由基础层调入创新层并在当年进行直接融资的，市财政给予每家企业100万元补助。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CESI仿宋-GB2312" w:hAnsi="CESI仿宋-GB2312" w:eastAsia="CESI仿宋-GB2312" w:cs="CESI仿宋-GB2312"/>
          <w:color w:val="auto"/>
          <w:kern w:val="2"/>
          <w:sz w:val="32"/>
          <w:szCs w:val="32"/>
          <w:lang w:val="en-US" w:eastAsia="zh-CN" w:bidi="ar-SA"/>
        </w:rPr>
        <w:t>企业在省内区域股权交易市场挂牌并在当年进行直接融资的，市财政给予每家企业10万元补助。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四、申报办理流程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企业按照通知要求准备申报材料，县级地方金融监管部门对申报材料进行初审，以正式文件形式报市地方金融监管局，市地方金融监管局汇总各县（区）申报材料，会同市级财政部门进行审核确认。</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center"/>
        <w:textAlignment w:val="auto"/>
        <w:outlineLvl w:val="1"/>
        <w:rPr>
          <w:rFonts w:hint="eastAsia" w:ascii="CESI楷体-GB2312" w:hAnsi="CESI楷体-GB2312" w:eastAsia="CESI楷体-GB2312" w:cs="CESI楷体-GB2312"/>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center"/>
        <w:textAlignment w:val="auto"/>
        <w:outlineLvl w:val="9"/>
        <w:rPr>
          <w:rFonts w:hint="eastAsia" w:ascii="方正小标宋简体" w:hAnsi="方正小标宋简体" w:eastAsia="方正小标宋简体" w:cs="方正小标宋简体"/>
          <w:sz w:val="36"/>
          <w:szCs w:val="36"/>
          <w:highlight w:val="yellow"/>
          <w:lang w:eastAsia="zh-CN"/>
        </w:rPr>
      </w:pPr>
      <w:r>
        <w:rPr>
          <w:rFonts w:hint="eastAsia" w:ascii="CESI楷体-GB2312" w:hAnsi="CESI楷体-GB2312" w:eastAsia="CESI楷体-GB2312" w:cs="CESI楷体-GB2312"/>
          <w:color w:val="auto"/>
          <w:kern w:val="2"/>
          <w:sz w:val="32"/>
          <w:szCs w:val="32"/>
          <w:lang w:val="en-US" w:eastAsia="zh-CN" w:bidi="ar-SA"/>
        </w:rPr>
        <w:t>主办单位：东营市地方金融监管局    联系电话：7928177</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720" w:firstLineChars="200"/>
        <w:jc w:val="center"/>
        <w:textAlignment w:val="auto"/>
        <w:outlineLvl w:val="1"/>
        <w:rPr>
          <w:rFonts w:hint="eastAsia" w:ascii="方正小标宋简体" w:hAnsi="方正小标宋简体" w:eastAsia="方正小标宋简体" w:cs="方正小标宋简体"/>
          <w:sz w:val="36"/>
          <w:szCs w:val="36"/>
          <w:highlight w:val="yellow"/>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720" w:firstLineChars="200"/>
        <w:jc w:val="center"/>
        <w:textAlignment w:val="auto"/>
        <w:outlineLvl w:val="1"/>
        <w:rPr>
          <w:rFonts w:hint="eastAsia" w:ascii="方正小标宋简体" w:hAnsi="方正小标宋简体" w:eastAsia="方正小标宋简体" w:cs="方正小标宋简体"/>
          <w:sz w:val="36"/>
          <w:szCs w:val="36"/>
          <w:highlight w:val="yellow"/>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720" w:firstLineChars="200"/>
        <w:jc w:val="center"/>
        <w:textAlignment w:val="auto"/>
        <w:outlineLvl w:val="1"/>
        <w:rPr>
          <w:rFonts w:hint="eastAsia" w:ascii="方正小标宋简体" w:hAnsi="方正小标宋简体" w:eastAsia="方正小标宋简体" w:cs="方正小标宋简体"/>
          <w:sz w:val="36"/>
          <w:szCs w:val="36"/>
          <w:highlight w:val="yellow"/>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720" w:firstLineChars="200"/>
        <w:jc w:val="center"/>
        <w:textAlignment w:val="auto"/>
        <w:outlineLvl w:val="1"/>
        <w:rPr>
          <w:rFonts w:hint="eastAsia" w:ascii="方正小标宋简体" w:hAnsi="方正小标宋简体" w:eastAsia="方正小标宋简体" w:cs="方正小标宋简体"/>
          <w:sz w:val="36"/>
          <w:szCs w:val="36"/>
          <w:highlight w:val="yellow"/>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720" w:firstLineChars="200"/>
        <w:jc w:val="center"/>
        <w:textAlignment w:val="auto"/>
        <w:outlineLvl w:val="1"/>
        <w:rPr>
          <w:rFonts w:hint="eastAsia" w:ascii="方正小标宋简体" w:hAnsi="方正小标宋简体" w:eastAsia="方正小标宋简体" w:cs="方正小标宋简体"/>
          <w:sz w:val="36"/>
          <w:szCs w:val="36"/>
          <w:highlight w:val="yellow"/>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720" w:firstLineChars="200"/>
        <w:jc w:val="center"/>
        <w:textAlignment w:val="auto"/>
        <w:outlineLvl w:val="1"/>
        <w:rPr>
          <w:rFonts w:hint="eastAsia" w:ascii="方正小标宋简体" w:hAnsi="方正小标宋简体" w:eastAsia="方正小标宋简体" w:cs="方正小标宋简体"/>
          <w:sz w:val="36"/>
          <w:szCs w:val="36"/>
          <w:highlight w:val="yellow"/>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720" w:firstLineChars="200"/>
        <w:jc w:val="center"/>
        <w:textAlignment w:val="auto"/>
        <w:outlineLvl w:val="1"/>
        <w:rPr>
          <w:rFonts w:hint="eastAsia" w:ascii="方正小标宋简体" w:hAnsi="方正小标宋简体" w:eastAsia="方正小标宋简体" w:cs="方正小标宋简体"/>
          <w:sz w:val="36"/>
          <w:szCs w:val="36"/>
          <w:highlight w:val="yellow"/>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720" w:firstLineChars="200"/>
        <w:jc w:val="center"/>
        <w:textAlignment w:val="auto"/>
        <w:outlineLvl w:val="1"/>
        <w:rPr>
          <w:rFonts w:hint="eastAsia" w:ascii="方正小标宋简体" w:hAnsi="方正小标宋简体" w:eastAsia="方正小标宋简体" w:cs="方正小标宋简体"/>
          <w:sz w:val="36"/>
          <w:szCs w:val="36"/>
          <w:highlight w:val="yellow"/>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720" w:firstLineChars="200"/>
        <w:jc w:val="center"/>
        <w:textAlignment w:val="auto"/>
        <w:outlineLvl w:val="1"/>
        <w:rPr>
          <w:rFonts w:hint="eastAsia" w:ascii="方正小标宋简体" w:hAnsi="方正小标宋简体" w:eastAsia="方正小标宋简体" w:cs="方正小标宋简体"/>
          <w:sz w:val="36"/>
          <w:szCs w:val="36"/>
          <w:highlight w:val="yellow"/>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720" w:firstLineChars="200"/>
        <w:jc w:val="center"/>
        <w:textAlignment w:val="auto"/>
        <w:outlineLvl w:val="1"/>
        <w:rPr>
          <w:rFonts w:hint="eastAsia" w:ascii="方正小标宋简体" w:hAnsi="方正小标宋简体" w:eastAsia="方正小标宋简体" w:cs="方正小标宋简体"/>
          <w:sz w:val="36"/>
          <w:szCs w:val="36"/>
          <w:highlight w:val="yellow"/>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720" w:firstLineChars="200"/>
        <w:jc w:val="center"/>
        <w:textAlignment w:val="auto"/>
        <w:outlineLvl w:val="1"/>
        <w:rPr>
          <w:rFonts w:hint="eastAsia" w:ascii="方正小标宋简体" w:hAnsi="方正小标宋简体" w:eastAsia="方正小标宋简体" w:cs="方正小标宋简体"/>
          <w:sz w:val="36"/>
          <w:szCs w:val="36"/>
          <w:highlight w:val="yellow"/>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sz w:val="36"/>
          <w:szCs w:val="36"/>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sz w:val="36"/>
          <w:szCs w:val="36"/>
          <w:lang w:eastAsia="zh-CN"/>
        </w:rPr>
      </w:pPr>
      <w:bookmarkStart w:id="27" w:name="_Toc15349"/>
      <w:r>
        <w:rPr>
          <w:rFonts w:hint="eastAsia" w:ascii="方正小标宋简体" w:hAnsi="方正小标宋简体" w:eastAsia="方正小标宋简体" w:cs="方正小标宋简体"/>
          <w:sz w:val="36"/>
          <w:szCs w:val="36"/>
          <w:lang w:eastAsia="zh-CN"/>
        </w:rPr>
        <w:t>山东省多层次资本市场补助政策</w:t>
      </w:r>
      <w:bookmarkEnd w:id="27"/>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textAlignment w:val="auto"/>
        <w:rPr>
          <w:rFonts w:hint="eastAsia" w:ascii="Times New Roman" w:hAnsi="Times New Roman" w:eastAsia="黑体" w:cs="Times New Roman"/>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一、服务对象和范围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对在沪深京港及主要境外资本市场首次公开发行票（IPO）的企业，经具有批准权限的部门或机构正式受理的，根据募集资金规模给予一次性补助；对我省在区域性股权市场人才板挂牌，且当年直接融资规模高于100万元（含）的企业，给予一次性补助；对重组上市并将注册地、纳税地迁至山东省内的企业，给予一次性补助。</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val="en-US" w:eastAsia="zh-CN"/>
        </w:rPr>
        <w:t>二、</w:t>
      </w:r>
      <w:r>
        <w:rPr>
          <w:rFonts w:hint="eastAsia" w:ascii="Times New Roman" w:hAnsi="Times New Roman" w:eastAsia="黑体" w:cs="Times New Roman"/>
          <w:sz w:val="32"/>
          <w:szCs w:val="32"/>
        </w:rPr>
        <w:t>政策名称</w:t>
      </w:r>
      <w:r>
        <w:rPr>
          <w:rFonts w:hint="eastAsia" w:ascii="Times New Roman" w:hAnsi="Times New Roman" w:eastAsia="黑体" w:cs="Times New Roman"/>
          <w:sz w:val="32"/>
          <w:szCs w:val="32"/>
          <w:lang w:eastAsia="zh-CN"/>
        </w:rPr>
        <w:t>或政策依据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textAlignment w:val="auto"/>
        <w:rPr>
          <w:rFonts w:hint="eastAsia" w:ascii="仿宋_GB2312" w:hAnsi="仿宋_GB2312" w:eastAsia="仿宋_GB2312" w:cs="仿宋_GB2312"/>
          <w:sz w:val="32"/>
          <w:szCs w:val="32"/>
          <w:lang w:val="en-US" w:eastAsia="zh-CN"/>
        </w:rPr>
      </w:pPr>
      <w:r>
        <w:rPr>
          <w:rFonts w:hint="eastAsia"/>
          <w:lang w:val="en-US" w:eastAsia="zh-CN"/>
        </w:rPr>
        <w:t xml:space="preserve">    </w:t>
      </w:r>
      <w:r>
        <w:rPr>
          <w:rFonts w:hint="eastAsia" w:ascii="CESI仿宋-GB2312" w:hAnsi="CESI仿宋-GB2312" w:eastAsia="CESI仿宋-GB2312" w:cs="CESI仿宋-GB2312"/>
          <w:sz w:val="32"/>
          <w:szCs w:val="32"/>
          <w:lang w:val="en-US" w:eastAsia="zh-CN"/>
        </w:rPr>
        <w:t xml:space="preserve">  </w:t>
      </w:r>
      <w:r>
        <w:rPr>
          <w:rFonts w:hint="eastAsia" w:ascii="仿宋_GB2312" w:hAnsi="仿宋_GB2312" w:eastAsia="仿宋_GB2312" w:cs="仿宋_GB2312"/>
          <w:sz w:val="32"/>
          <w:szCs w:val="32"/>
          <w:lang w:val="en-US" w:eastAsia="zh-CN"/>
        </w:rPr>
        <w:t>《山东省地方金融监管局 山东省财政厅 中国银行保险监督管理委员会山东监管局关于申报2022年多层次资本市场补助等项目资金的通知》（鲁金监字〔2022〕3号）</w:t>
      </w:r>
      <w:r>
        <w:rPr>
          <w:rFonts w:hint="eastAsia" w:ascii="Times New Roman" w:hAnsi="Times New Roman" w:eastAsia="黑体" w:cs="Times New Roman"/>
          <w:color w:val="auto"/>
          <w:kern w:val="2"/>
          <w:sz w:val="32"/>
          <w:szCs w:val="32"/>
          <w:lang w:val="en-US" w:eastAsia="zh-CN" w:bidi="ar-SA"/>
        </w:rPr>
        <w:t>。</w:t>
      </w:r>
      <w:r>
        <w:rPr>
          <w:rFonts w:hint="eastAsia" w:ascii="仿宋_GB2312" w:hAnsi="仿宋_GB2312" w:eastAsia="仿宋_GB2312" w:cs="仿宋_GB2312"/>
          <w:b/>
          <w:bCs/>
          <w:sz w:val="32"/>
          <w:szCs w:val="32"/>
          <w:lang w:val="en-US" w:eastAsia="zh-CN"/>
        </w:rPr>
        <w:t>按年度定期调整政策内容</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lang w:val="en-US" w:eastAsia="zh-CN"/>
        </w:rPr>
      </w:pPr>
      <w:r>
        <w:rPr>
          <w:rFonts w:hint="eastAsia" w:ascii="Times New Roman" w:hAnsi="Times New Roman" w:eastAsia="黑体" w:cs="Times New Roman"/>
          <w:color w:val="auto"/>
          <w:kern w:val="2"/>
          <w:sz w:val="32"/>
          <w:szCs w:val="32"/>
          <w:lang w:val="en-US" w:eastAsia="zh-CN" w:bidi="ar-SA"/>
        </w:rPr>
        <w:t>三、政策措施内容及标准</w:t>
      </w:r>
      <w:r>
        <w:rPr>
          <w:rFonts w:hint="eastAsia"/>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仿宋_GB2312" w:hAnsi="仿宋_GB2312" w:eastAsia="仿宋_GB2312" w:cs="仿宋_GB2312"/>
          <w:sz w:val="32"/>
          <w:szCs w:val="32"/>
          <w:lang w:val="en-US" w:eastAsia="zh-CN"/>
        </w:rPr>
        <w:t>鲁金监字〔2022〕3号明确，</w:t>
      </w:r>
      <w:r>
        <w:rPr>
          <w:rFonts w:hint="eastAsia" w:ascii="仿宋_GB2312" w:hAnsi="仿宋_GB2312" w:eastAsia="仿宋_GB2312" w:cs="仿宋_GB2312"/>
          <w:color w:val="auto"/>
          <w:kern w:val="2"/>
          <w:sz w:val="32"/>
          <w:szCs w:val="32"/>
          <w:lang w:val="en-US" w:eastAsia="zh-CN" w:bidi="ar-SA"/>
        </w:rPr>
        <w:t>对我省已完成规范化公司制改制，申请在沪深京港及主要境外资本市场首次公开发行股票（IPO），2021年度经具有批准权限的部门或机构正式受理的企业，按照不超过申请募集资金规模2‰的比例给予一次性补助，上限为200万元。对我省2020、2021年度在区域性股权市场人才板挂牌，且当年直接融资规模高于100万元（含）的企业，给予一次性补助10万元。对重组上市并将注册地、纳税地迁至山东省内的企业，给予最高一次性补助100万元。</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四、申报办理流程</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企业按照通知要求准备申报材料，县级地方金融监管部门对申报材料进行初审并签章确认，会同县（区）级财政部门以正式文件形式报市地方金融监管局，市地方金融监管局汇总各县（区）申报材料进行审核汇总并签章确认，会同市级财政部门以正式文件形式报省地方金融监管局。</w:t>
      </w:r>
    </w:p>
    <w:p>
      <w:pPr>
        <w:pStyle w:val="6"/>
        <w:pageBreakBefore w:val="0"/>
        <w:widowControl w:val="0"/>
        <w:kinsoku/>
        <w:wordWrap/>
        <w:overflowPunct/>
        <w:topLinePunct w:val="0"/>
        <w:autoSpaceDE/>
        <w:autoSpaceDN/>
        <w:bidi w:val="0"/>
        <w:adjustRightInd/>
        <w:snapToGrid/>
        <w:spacing w:before="0" w:after="0" w:line="590" w:lineRule="exact"/>
        <w:ind w:left="0" w:leftChars="0"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p>
    <w:p>
      <w:pPr>
        <w:pStyle w:val="6"/>
        <w:pageBreakBefore w:val="0"/>
        <w:widowControl w:val="0"/>
        <w:kinsoku/>
        <w:wordWrap/>
        <w:overflowPunct/>
        <w:topLinePunct w:val="0"/>
        <w:autoSpaceDE/>
        <w:autoSpaceDN/>
        <w:bidi w:val="0"/>
        <w:adjustRightInd/>
        <w:snapToGrid/>
        <w:spacing w:before="0" w:after="0" w:line="590" w:lineRule="exact"/>
        <w:ind w:left="0" w:leftChars="0" w:firstLine="640" w:firstLineChars="200"/>
        <w:textAlignment w:val="auto"/>
        <w:rPr>
          <w:rFonts w:hint="eastAsia" w:ascii="CESI楷体-GB2312" w:hAnsi="CESI楷体-GB2312" w:eastAsia="CESI楷体-GB2312" w:cs="CESI楷体-GB2312"/>
          <w:b w:val="0"/>
          <w:bCs w:val="0"/>
          <w:color w:val="auto"/>
          <w:kern w:val="2"/>
          <w:sz w:val="32"/>
          <w:szCs w:val="32"/>
          <w:lang w:val="en-US" w:eastAsia="zh-CN" w:bidi="ar-SA"/>
        </w:rPr>
        <w:sectPr>
          <w:pgSz w:w="11906" w:h="16838"/>
          <w:pgMar w:top="1587" w:right="1474" w:bottom="147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CESI楷体-GB2312" w:hAnsi="CESI楷体-GB2312" w:eastAsia="CESI楷体-GB2312" w:cs="CESI楷体-GB2312"/>
          <w:b w:val="0"/>
          <w:bCs w:val="0"/>
          <w:color w:val="auto"/>
          <w:kern w:val="2"/>
          <w:sz w:val="32"/>
          <w:szCs w:val="32"/>
          <w:lang w:val="en-US" w:eastAsia="zh-CN" w:bidi="ar-SA"/>
        </w:rPr>
        <w:t>主办单位：市地方金融监管局  联系电话：7928177</w:t>
      </w:r>
    </w:p>
    <w:p>
      <w:pPr>
        <w:keepNext w:val="0"/>
        <w:keepLines w:val="0"/>
        <w:pageBreakBefore w:val="0"/>
        <w:widowControl/>
        <w:suppressLineNumbers w:val="0"/>
        <w:kinsoku/>
        <w:wordWrap/>
        <w:overflowPunct/>
        <w:topLinePunct w:val="0"/>
        <w:autoSpaceDE/>
        <w:autoSpaceDN/>
        <w:bidi w:val="0"/>
        <w:adjustRightIn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sz w:val="36"/>
          <w:szCs w:val="36"/>
          <w:lang w:val="en" w:eastAsia="zh-CN"/>
        </w:rPr>
      </w:pPr>
      <w:bookmarkStart w:id="28" w:name="_Toc25927"/>
      <w:r>
        <w:rPr>
          <w:rFonts w:hint="eastAsia" w:ascii="方正小标宋简体" w:hAnsi="方正小标宋简体" w:eastAsia="方正小标宋简体" w:cs="方正小标宋简体"/>
          <w:sz w:val="36"/>
          <w:szCs w:val="36"/>
          <w:lang w:val="en-US" w:eastAsia="zh-CN"/>
        </w:rPr>
        <w:t>支持工商资本投资农业农村财政奖补政策</w:t>
      </w:r>
      <w:bookmarkEnd w:id="28"/>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CESI黑体-GB2312" w:hAnsi="CESI黑体-GB2312" w:eastAsia="CESI黑体-GB2312" w:cs="CESI黑体-GB2312"/>
          <w:color w:val="auto"/>
          <w:kern w:val="2"/>
          <w:sz w:val="32"/>
          <w:szCs w:val="32"/>
          <w:lang w:val="en-US" w:eastAsia="zh-CN" w:bidi="ar-SA"/>
        </w:rPr>
      </w:pPr>
      <w:r>
        <w:rPr>
          <w:rFonts w:hint="eastAsia" w:ascii="CESI黑体-GB2312" w:hAnsi="CESI黑体-GB2312" w:eastAsia="CESI黑体-GB2312" w:cs="CESI黑体-GB2312"/>
          <w:color w:val="auto"/>
          <w:kern w:val="2"/>
          <w:sz w:val="32"/>
          <w:szCs w:val="32"/>
          <w:lang w:val="en-US" w:eastAsia="zh-CN" w:bidi="ar-SA"/>
        </w:rPr>
        <w:t>一、服务对象和范围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财政奖补支持对象为农业生产及与其直接相关的三产融合投资项目，年度新增投资达到规定标准，不存在违反环保、土地政策、重大农产品质量安全、安全生产问题以及严重失信等行为，无骗取、违规套取财政补贴资金等行为，具有独立法人资格的企业。投资项目应符合农业农村部关于社会资本投资农业农村指引规定的领域范围，包括现代种养业、现代种业、乡村富民产业、农产品加工流通业、乡村新型服务业、生态循环农业、农业科技创新、农业农村人才培养、农业农村基础设施建设、智慧农业建设、农村创业创新、农村人居环境整治、农业对外合作等方向。</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CESI黑体-GB2312" w:hAnsi="CESI黑体-GB2312" w:eastAsia="CESI黑体-GB2312" w:cs="CESI黑体-GB2312"/>
          <w:color w:val="auto"/>
          <w:kern w:val="2"/>
          <w:sz w:val="32"/>
          <w:szCs w:val="32"/>
          <w:lang w:val="en-US" w:eastAsia="zh-CN" w:bidi="ar-SA"/>
        </w:rPr>
      </w:pPr>
      <w:r>
        <w:rPr>
          <w:rFonts w:hint="eastAsia" w:ascii="CESI黑体-GB2312" w:hAnsi="CESI黑体-GB2312" w:eastAsia="CESI黑体-GB2312" w:cs="CESI黑体-GB2312"/>
          <w:color w:val="auto"/>
          <w:kern w:val="2"/>
          <w:sz w:val="32"/>
          <w:szCs w:val="32"/>
          <w:lang w:val="en-US" w:eastAsia="zh-CN" w:bidi="ar-SA"/>
        </w:rPr>
        <w:t>二、政策名称或政策依据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山东省委农业农村委员会《关于加快推动乡村振兴和巩固提升脱贫攻坚成果的支持政策》（鲁农委发〔2019〕6号）提出“对工商资本年实际新增投资1亿元以上的乡村振兴项目，由省市县财政联动按实际新增投资额的1%给予奖补”。山东省农业农村厅、山东省财政厅《关于印发&lt;支持工商资本投资农业农村财政奖补政策实施细则（试行）&gt;的通知》(鲁农计财字〔2022〕8号）明确，奖补资金由省、市、县财政按照 5:3:2 的比例分担。 </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CESI黑体-GB2312" w:hAnsi="CESI黑体-GB2312" w:eastAsia="CESI黑体-GB2312" w:cs="CESI黑体-GB2312"/>
          <w:color w:val="auto"/>
          <w:kern w:val="2"/>
          <w:sz w:val="32"/>
          <w:szCs w:val="32"/>
          <w:lang w:val="en-US" w:eastAsia="zh-CN" w:bidi="ar-SA"/>
        </w:rPr>
      </w:pPr>
      <w:r>
        <w:rPr>
          <w:rFonts w:hint="eastAsia" w:ascii="CESI黑体-GB2312" w:hAnsi="CESI黑体-GB2312" w:eastAsia="CESI黑体-GB2312" w:cs="CESI黑体-GB2312"/>
          <w:color w:val="auto"/>
          <w:kern w:val="2"/>
          <w:sz w:val="32"/>
          <w:szCs w:val="32"/>
          <w:lang w:val="en-US" w:eastAsia="zh-CN" w:bidi="ar-SA"/>
        </w:rPr>
        <w:t>三、政策措施内容及标准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奖补资金规模为年度实际新增投资额的1%，最高奖补1000万元。奖补资金由省、市、县财政按照 5:3:2 的比例分担。奖补资金实行压茬安排，对当年 6 月30 日前达到奖补标准的工商资本投资农业农村项目，通过次年预算予以奖补。对同一企业投资建设的同一单体项目，已获得过各级各类财政资金扶持的，按照应获得工商资本投资农业农村奖补资金规模与已获得其他财政资金扶持之差享受支持。对已获得耕地地力保护补贴、农机购置补贴2项普惠性补贴资金的，不作为抵扣项目，按照应获得工商资本投资农业农村奖补资金全额享受支持。</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奖补资金申报主体为符合条件的项目投资企业。申报主体年度实际新增投资额应达到奖补标准，且形成实物工作量。</w:t>
      </w:r>
      <w:r>
        <w:rPr>
          <w:rFonts w:hint="eastAsia" w:ascii="仿宋_GB2312" w:hAnsi="仿宋_GB2312" w:eastAsia="仿宋_GB2312" w:cs="仿宋_GB2312"/>
          <w:b/>
          <w:bCs/>
          <w:color w:val="auto"/>
          <w:kern w:val="2"/>
          <w:sz w:val="32"/>
          <w:szCs w:val="32"/>
          <w:lang w:val="en-US" w:eastAsia="zh-CN" w:bidi="ar-SA"/>
        </w:rPr>
        <w:t>年度实际新增投资</w:t>
      </w:r>
      <w:r>
        <w:rPr>
          <w:rFonts w:hint="eastAsia" w:ascii="仿宋_GB2312" w:hAnsi="仿宋_GB2312" w:eastAsia="仿宋_GB2312" w:cs="仿宋_GB2312"/>
          <w:color w:val="auto"/>
          <w:kern w:val="2"/>
          <w:sz w:val="32"/>
          <w:szCs w:val="32"/>
          <w:lang w:val="en-US" w:eastAsia="zh-CN" w:bidi="ar-SA"/>
        </w:rPr>
        <w:t xml:space="preserve">，是指截至统计申报日之前，投资时间跨度不超过一年的单个项目累计投资额。日常管理费、人员工资等费用支出不作为新增投资申报。支持鼓励年度实际新增投资额达到1亿元（含）以上的单个企业投资。允许符合当地乡村振兴发展规划且在同一项目建 设区域内的2—3家企业统一规划、统筹布局、分别投资，以同一项目建设为依托，按照项目年度实际新增总体投资额达到1亿元以上、单户企业最低投资额不低于3000万元的标准联合申报。已获得奖补的连续投资项目，在下个统计年度实际新增投资额达5000 万元（含）以上的仍可申报，按政策标准继续给予奖补。 </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CESI黑体-GB2312" w:hAnsi="CESI黑体-GB2312" w:eastAsia="CESI黑体-GB2312" w:cs="CESI黑体-GB2312"/>
          <w:color w:val="auto"/>
          <w:kern w:val="2"/>
          <w:sz w:val="32"/>
          <w:szCs w:val="32"/>
          <w:lang w:val="en-US" w:eastAsia="zh-CN" w:bidi="ar-SA"/>
        </w:rPr>
      </w:pPr>
      <w:r>
        <w:rPr>
          <w:rFonts w:hint="eastAsia" w:ascii="CESI黑体-GB2312" w:hAnsi="CESI黑体-GB2312" w:eastAsia="CESI黑体-GB2312" w:cs="CESI黑体-GB2312"/>
          <w:color w:val="auto"/>
          <w:kern w:val="2"/>
          <w:sz w:val="32"/>
          <w:szCs w:val="32"/>
          <w:lang w:val="en-US" w:eastAsia="zh-CN" w:bidi="ar-SA"/>
        </w:rPr>
        <w:t>四、申报办理流程</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（一）申请。符合条件的项目投资企业按照通知要求，自主向所在县（区）农业农村局提出申请，并提报以下材料： </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1.《工商资本投资农业农村项目奖补政策申请表》；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2.项目建设情况及投资企业简介； </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3.项目年实际新增投资凭证复印件及明细表； </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4.项目建设有关文件，包括发改部门立项批复或备案文件、建设用地规划许可证、建设工程规划许可证、建设工程施工许可证、国有土地使用证或设施农用地备案手续等。项目建设不需要以上审批或备案文件的，由企业出具加盖公章的其他凭证和说明材料； </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5.项目投资企业营业执照复印件。</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（二）审核。</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1.省农业农村厅、省财政厅于每年 6月30日前下发申报工商资本投资农业农村项目奖补通知。 </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2.县（区）农业农村部门会同财政部门对企业申报项目进行审核汇总，形成《××县（市、区）××年支持工商资本投资农业农村奖补申报表》，于7月31日前报市级农业农村、财政部门复审。 </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3.市级农业农村部门会同财政部门对各县（区）报送项目进行复审，形成《××市××年支持工商资本投资农业农村奖补申报汇总表》，于8月15日前报省农业农村厅、省财政厅备案。 </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4.省农业农村厅会同省财政厅对各市上报的工商资本投资农业农村财政奖补申请进行审核汇总，省财政厅根据审核结果于次年拨付资金。</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CESI楷体-GB2312" w:hAnsi="CESI楷体-GB2312" w:eastAsia="CESI楷体-GB2312" w:cs="CESI楷体-GB2312"/>
          <w:color w:val="auto"/>
          <w:kern w:val="2"/>
          <w:sz w:val="32"/>
          <w:szCs w:val="32"/>
          <w:lang w:val="en-US" w:eastAsia="zh-CN" w:bidi="ar-SA"/>
        </w:rPr>
      </w:pPr>
      <w:r>
        <w:rPr>
          <w:rFonts w:hint="eastAsia" w:ascii="CESI楷体-GB2312" w:hAnsi="CESI楷体-GB2312" w:eastAsia="CESI楷体-GB2312" w:cs="CESI楷体-GB2312"/>
          <w:color w:val="auto"/>
          <w:kern w:val="2"/>
          <w:sz w:val="32"/>
          <w:szCs w:val="32"/>
          <w:lang w:val="en-US" w:eastAsia="zh-CN" w:bidi="ar-SA"/>
        </w:rPr>
        <w:t>主办单位：东营市农业农村局 联系电话：8318376</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br w:type="page"/>
      </w:r>
    </w:p>
    <w:p>
      <w:pPr>
        <w:pStyle w:val="20"/>
        <w:pageBreakBefore w:val="0"/>
        <w:kinsoku/>
        <w:wordWrap/>
        <w:overflowPunct/>
        <w:topLinePunct w:val="0"/>
        <w:bidi w:val="0"/>
        <w:spacing w:before="0" w:after="0" w:line="590" w:lineRule="exact"/>
        <w:ind w:firstLine="0" w:firstLineChars="0"/>
        <w:outlineLvl w:val="9"/>
        <w:rPr>
          <w:rFonts w:ascii="方正小标宋简体" w:eastAsia="方正小标宋简体"/>
          <w:b w:val="0"/>
          <w:sz w:val="44"/>
          <w:szCs w:val="44"/>
        </w:rPr>
      </w:pPr>
    </w:p>
    <w:p/>
    <w:p>
      <w:pPr>
        <w:pStyle w:val="20"/>
        <w:pageBreakBefore w:val="0"/>
        <w:kinsoku/>
        <w:wordWrap/>
        <w:overflowPunct/>
        <w:topLinePunct w:val="0"/>
        <w:bidi w:val="0"/>
        <w:spacing w:before="0" w:after="0" w:line="590" w:lineRule="exact"/>
        <w:ind w:firstLine="0" w:firstLineChars="0"/>
        <w:rPr>
          <w:rFonts w:ascii="方正小标宋简体" w:eastAsia="方正小标宋简体"/>
          <w:b w:val="0"/>
          <w:sz w:val="44"/>
          <w:szCs w:val="44"/>
        </w:rPr>
      </w:pPr>
      <w:bookmarkStart w:id="29" w:name="_Toc3139"/>
      <w:r>
        <w:rPr>
          <w:rFonts w:hint="eastAsia" w:ascii="方正小标宋简体" w:eastAsia="方正小标宋简体"/>
          <w:b w:val="0"/>
          <w:sz w:val="44"/>
          <w:szCs w:val="44"/>
        </w:rPr>
        <w:t>第三篇：保险篇</w:t>
      </w:r>
      <w:bookmarkEnd w:id="29"/>
    </w:p>
    <w:p>
      <w:pPr>
        <w:pStyle w:val="2"/>
        <w:pageBreakBefore w:val="0"/>
        <w:kinsoku/>
        <w:wordWrap/>
        <w:overflowPunct/>
        <w:topLinePunct w:val="0"/>
        <w:bidi w:val="0"/>
        <w:spacing w:line="590" w:lineRule="exact"/>
        <w:rPr>
          <w:rFonts w:ascii="方正仿宋_GB2312" w:hAnsi="方正仿宋_GB2312" w:cs="方正仿宋_GB2312"/>
          <w:color w:val="000000"/>
          <w:sz w:val="32"/>
          <w:szCs w:val="32"/>
        </w:rPr>
      </w:pPr>
    </w:p>
    <w:p>
      <w:pPr>
        <w:pageBreakBefore w:val="0"/>
        <w:kinsoku/>
        <w:wordWrap/>
        <w:overflowPunct/>
        <w:topLinePunct w:val="0"/>
        <w:bidi w:val="0"/>
        <w:spacing w:line="590" w:lineRule="exact"/>
        <w:rPr>
          <w:rFonts w:hint="eastAsia" w:ascii="方正小标宋简体" w:hAnsi="Times New Roman" w:eastAsia="方正小标宋简体" w:cs="Times New Roman"/>
          <w:szCs w:val="44"/>
        </w:rPr>
        <w:sectPr>
          <w:pgSz w:w="11906" w:h="16838"/>
          <w:pgMar w:top="1587" w:right="1474" w:bottom="147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方正小标宋简体" w:hAnsi="Times New Roman" w:eastAsia="方正小标宋简体" w:cs="Times New Roman"/>
          <w:szCs w:val="44"/>
        </w:rPr>
        <w:br w:type="page"/>
      </w:r>
    </w:p>
    <w:p>
      <w:pPr>
        <w:keepNext w:val="0"/>
        <w:keepLines w:val="0"/>
        <w:pageBreakBefore w:val="0"/>
        <w:kinsoku/>
        <w:wordWrap/>
        <w:overflowPunct/>
        <w:topLinePunct w:val="0"/>
        <w:bidi w:val="0"/>
        <w:snapToGrid/>
        <w:spacing w:line="59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eastAsia="zh-CN"/>
        </w:rPr>
      </w:pPr>
    </w:p>
    <w:p>
      <w:pPr>
        <w:keepNext w:val="0"/>
        <w:keepLines w:val="0"/>
        <w:pageBreakBefore w:val="0"/>
        <w:kinsoku/>
        <w:wordWrap/>
        <w:overflowPunct/>
        <w:topLinePunct w:val="0"/>
        <w:bidi w:val="0"/>
        <w:snapToGrid/>
        <w:spacing w:line="590" w:lineRule="exact"/>
        <w:ind w:left="0" w:leftChars="0" w:right="0" w:rightChars="0" w:firstLine="0" w:firstLineChars="0"/>
        <w:jc w:val="center"/>
        <w:textAlignment w:val="auto"/>
        <w:outlineLvl w:val="1"/>
        <w:rPr>
          <w:rFonts w:hint="eastAsia" w:ascii="仿宋_GB2312" w:hAnsi="仿宋_GB2312" w:eastAsia="仿宋_GB2312" w:cs="仿宋_GB2312"/>
          <w:sz w:val="32"/>
          <w:szCs w:val="32"/>
          <w:lang w:eastAsia="zh-CN"/>
        </w:rPr>
      </w:pPr>
      <w:bookmarkStart w:id="30" w:name="_Toc30370"/>
      <w:r>
        <w:rPr>
          <w:rFonts w:hint="eastAsia" w:ascii="方正小标宋简体" w:hAnsi="方正小标宋简体" w:eastAsia="方正小标宋简体" w:cs="方正小标宋简体"/>
          <w:b w:val="0"/>
          <w:bCs w:val="0"/>
          <w:sz w:val="36"/>
          <w:szCs w:val="36"/>
          <w:lang w:eastAsia="zh-CN"/>
        </w:rPr>
        <w:t>发挥保险保障功能支持纾困政策</w:t>
      </w:r>
      <w:bookmarkEnd w:id="30"/>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黑体" w:eastAsia="黑体" w:cs="黑体"/>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color w:val="auto"/>
          <w:kern w:val="2"/>
          <w:sz w:val="32"/>
          <w:szCs w:val="32"/>
          <w:lang w:val="en-US" w:eastAsia="zh-CN" w:bidi="ar-SA"/>
        </w:rPr>
        <w:t>一、服务对象和范围</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_GB2312" w:hAnsi="仿宋_GB2312" w:eastAsia="仿宋_GB2312" w:cs="仿宋_GB2312"/>
          <w:color w:val="auto"/>
          <w:kern w:val="0"/>
          <w:sz w:val="32"/>
          <w:szCs w:val="32"/>
          <w:highlight w:val="none"/>
          <w:lang w:eastAsia="zh-CN" w:bidi="ar"/>
        </w:rPr>
      </w:pPr>
      <w:r>
        <w:rPr>
          <w:rFonts w:hint="default" w:ascii="仿宋_GB2312" w:hAnsi="仿宋_GB2312" w:eastAsia="仿宋_GB2312" w:cs="仿宋_GB2312"/>
          <w:color w:val="auto"/>
          <w:kern w:val="0"/>
          <w:sz w:val="32"/>
          <w:szCs w:val="32"/>
          <w:highlight w:val="none"/>
          <w:lang w:eastAsia="zh-CN" w:bidi="ar"/>
        </w:rPr>
        <w:t>因疫情</w:t>
      </w:r>
      <w:r>
        <w:rPr>
          <w:rFonts w:hint="eastAsia" w:ascii="仿宋_GB2312" w:hAnsi="仿宋_GB2312" w:eastAsia="仿宋_GB2312" w:cs="仿宋_GB2312"/>
          <w:color w:val="auto"/>
          <w:kern w:val="0"/>
          <w:sz w:val="32"/>
          <w:szCs w:val="32"/>
          <w:highlight w:val="none"/>
          <w:lang w:eastAsia="zh-CN" w:bidi="ar"/>
        </w:rPr>
        <w:t>影响</w:t>
      </w:r>
      <w:r>
        <w:rPr>
          <w:rFonts w:hint="default" w:ascii="仿宋_GB2312" w:hAnsi="仿宋_GB2312" w:eastAsia="仿宋_GB2312" w:cs="仿宋_GB2312"/>
          <w:color w:val="auto"/>
          <w:kern w:val="0"/>
          <w:sz w:val="32"/>
          <w:szCs w:val="32"/>
          <w:highlight w:val="none"/>
          <w:lang w:eastAsia="zh-CN" w:bidi="ar"/>
        </w:rPr>
        <w:t>暂时遇困行业企业</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val="en-US" w:eastAsia="zh-CN" w:bidi="ar"/>
        </w:rPr>
        <w:t>对受疫情影响严重的保险投保人</w:t>
      </w:r>
      <w:r>
        <w:rPr>
          <w:rFonts w:hint="eastAsia" w:ascii="仿宋_GB2312" w:hAnsi="仿宋_GB2312" w:eastAsia="仿宋_GB2312" w:cs="仿宋_GB2312"/>
          <w:color w:val="auto"/>
          <w:kern w:val="0"/>
          <w:sz w:val="32"/>
          <w:szCs w:val="32"/>
          <w:highlight w:val="none"/>
          <w:lang w:eastAsia="zh-CN" w:bidi="ar"/>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二、概念解释</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auto"/>
          <w:kern w:val="0"/>
          <w:sz w:val="32"/>
          <w:szCs w:val="32"/>
          <w:highlight w:val="none"/>
          <w:lang w:eastAsia="zh-CN" w:bidi="ar"/>
        </w:rPr>
        <w:t>新市民指因本人创业就业、子女上学、投靠子女等原因来到城镇常住，未获得当地户籍或获得当地户籍不满三年的各类群体的统称，包括但不限于进城务工人员、新就业大中专毕业生等。具体可根据当地发展实际进一步明确新市民的范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三、政策名称或政策依据</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（一）《中国银保监会办公厅关于进一步做好受疫情影响困难行业企业等金融服务的通知》（银保监办发〔2022〕64号）。</w:t>
      </w:r>
    </w:p>
    <w:p>
      <w:pPr>
        <w:pageBreakBefore w:val="0"/>
        <w:kinsoku/>
        <w:wordWrap/>
        <w:overflowPunct/>
        <w:topLinePunct w:val="0"/>
        <w:bidi w:val="0"/>
        <w:spacing w:line="59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kern w:val="2"/>
          <w:sz w:val="32"/>
          <w:szCs w:val="32"/>
          <w:lang w:val="en-US" w:eastAsia="zh-CN" w:bidi="ar-SA"/>
        </w:rPr>
        <w:t>（二）《山东省人民政府关于印发2022年“稳中求进”高质量发展政策清单（第二批）的通知》（鲁政发〔2022〕4号）</w:t>
      </w:r>
      <w:r>
        <w:rPr>
          <w:rFonts w:hint="eastAsia" w:ascii="仿宋_GB2312" w:hAnsi="仿宋_GB2312" w:eastAsia="仿宋_GB2312" w:cs="仿宋_GB2312"/>
          <w:sz w:val="32"/>
          <w:szCs w:val="32"/>
          <w:lang w:val="en-US" w:eastAsia="zh-CN"/>
        </w:rPr>
        <w:t>要求“对受疫情影响严重的保险投保人，支持保险机构对其期交业务放宽交费期限”。</w:t>
      </w:r>
    </w:p>
    <w:p>
      <w:pPr>
        <w:pageBreakBefore w:val="0"/>
        <w:kinsoku/>
        <w:wordWrap/>
        <w:overflowPunct/>
        <w:topLinePunct w:val="0"/>
        <w:bidi w:val="0"/>
        <w:spacing w:line="59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（三）山东省发改委等20部门《关于印发&lt;山东省促进服务业领域困难行业恢复发展的实施方案&gt;的通知</w:t>
      </w:r>
      <w:r>
        <w:rPr>
          <w:rFonts w:hint="eastAsia" w:ascii="仿宋_GB2312" w:hAnsi="仿宋_GB2312" w:eastAsia="仿宋_GB2312" w:cs="仿宋_GB2312"/>
          <w:color w:val="auto"/>
          <w:kern w:val="2"/>
          <w:sz w:val="32"/>
          <w:szCs w:val="32"/>
          <w:lang w:val="en-US" w:eastAsia="zh-CN" w:bidi="ar-SA"/>
        </w:rPr>
        <w:t>》</w:t>
      </w:r>
      <w:r>
        <w:rPr>
          <w:rFonts w:hint="eastAsia" w:ascii="仿宋_GB2312" w:hAnsi="仿宋_GB2312" w:eastAsia="仿宋_GB2312" w:cs="仿宋_GB2312"/>
          <w:sz w:val="32"/>
          <w:szCs w:val="32"/>
          <w:lang w:val="en-US" w:eastAsia="zh-CN"/>
        </w:rPr>
        <w:t>（鲁发改财金〔2022〕244号）要求“鼓励保险机构面向餐饮企业不断丰富产品供给，开发扩大因疫情导致营业中断损失保险的覆盖面，鼓励各市统筹各类资金以整体投保的方式为餐饮等服务业企业投保营业中断保险等”。</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（四）《东营市人民政府关于印发东营市2022年“稳中求进”高质量发展政策清单（第二批）的通知》（东政发〔2022〕5号）要求“对受疫情影响严重的保险投保人，支持保险机构对其期交业务放宽交费期限”。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四、政策措施内容及标准</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bidi="ar"/>
        </w:rPr>
      </w:pPr>
      <w:r>
        <w:rPr>
          <w:rFonts w:hint="default"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val="en-US" w:eastAsia="zh-CN" w:bidi="ar"/>
        </w:rPr>
        <w:t>一</w:t>
      </w:r>
      <w:r>
        <w:rPr>
          <w:rFonts w:hint="default" w:ascii="仿宋_GB2312" w:hAnsi="仿宋_GB2312" w:eastAsia="仿宋_GB2312" w:cs="仿宋_GB2312"/>
          <w:color w:val="auto"/>
          <w:kern w:val="0"/>
          <w:sz w:val="32"/>
          <w:szCs w:val="32"/>
          <w:highlight w:val="none"/>
          <w:lang w:val="en-US" w:eastAsia="zh-CN" w:bidi="ar"/>
        </w:rPr>
        <w:t>）增加保险产品供给。鼓励保险机构针对因疫情暂时遇困行业企业特点，积极发展财产保险、责任保险业务，创新保险产品，丰富企业风险分散渠道。</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bidi="ar"/>
        </w:rPr>
      </w:pPr>
      <w:r>
        <w:rPr>
          <w:rFonts w:hint="default"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val="en-US" w:eastAsia="zh-CN" w:bidi="ar"/>
        </w:rPr>
        <w:t>二</w:t>
      </w:r>
      <w:r>
        <w:rPr>
          <w:rFonts w:hint="default" w:ascii="仿宋_GB2312" w:hAnsi="仿宋_GB2312" w:eastAsia="仿宋_GB2312" w:cs="仿宋_GB2312"/>
          <w:color w:val="auto"/>
          <w:kern w:val="0"/>
          <w:sz w:val="32"/>
          <w:szCs w:val="32"/>
          <w:highlight w:val="none"/>
          <w:lang w:val="en-US" w:eastAsia="zh-CN" w:bidi="ar"/>
        </w:rPr>
        <w:t>）提高保险覆盖面。保险机构要进一步提高营业中断险、财产损失险、雇主责任险、货物运输险等业务覆盖面，为企业因疫情停工停产期间的财产损失及营业中断利润损失等提供保险保障。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bidi="ar"/>
        </w:rPr>
      </w:pPr>
      <w:r>
        <w:rPr>
          <w:rFonts w:hint="default"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val="en-US" w:eastAsia="zh-CN" w:bidi="ar"/>
        </w:rPr>
        <w:t>三</w:t>
      </w:r>
      <w:r>
        <w:rPr>
          <w:rFonts w:hint="default" w:ascii="仿宋_GB2312" w:hAnsi="仿宋_GB2312" w:eastAsia="仿宋_GB2312" w:cs="仿宋_GB2312"/>
          <w:color w:val="auto"/>
          <w:kern w:val="0"/>
          <w:sz w:val="32"/>
          <w:szCs w:val="32"/>
          <w:highlight w:val="none"/>
          <w:lang w:val="en-US" w:eastAsia="zh-CN" w:bidi="ar"/>
        </w:rPr>
        <w:t>）做好外贸金融服务。有关保险机构要扩大出口信用保险覆盖范围，优化承保理赔条件、简化理赔手续，合理降低保险费率。鼓励银行机构同保险机构深化合作，有效发挥保单增信作用，发展保单融资业务，更好满足外贸企业融资需求。</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default" w:ascii="仿宋_GB2312" w:hAnsi="仿宋_GB2312" w:eastAsia="仿宋_GB2312" w:cs="仿宋_GB2312"/>
          <w:color w:val="auto"/>
          <w:kern w:val="0"/>
          <w:sz w:val="32"/>
          <w:szCs w:val="32"/>
          <w:highlight w:val="none"/>
          <w:lang w:val="en-US" w:eastAsia="zh-CN" w:bidi="ar"/>
        </w:rPr>
      </w:pPr>
      <w:r>
        <w:rPr>
          <w:rFonts w:hint="default"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val="en-US" w:eastAsia="zh-CN" w:bidi="ar"/>
        </w:rPr>
        <w:t>四</w:t>
      </w:r>
      <w:r>
        <w:rPr>
          <w:rFonts w:hint="default" w:ascii="仿宋_GB2312" w:hAnsi="仿宋_GB2312" w:eastAsia="仿宋_GB2312" w:cs="仿宋_GB2312"/>
          <w:color w:val="auto"/>
          <w:kern w:val="0"/>
          <w:sz w:val="32"/>
          <w:szCs w:val="32"/>
          <w:highlight w:val="none"/>
          <w:lang w:val="en-US" w:eastAsia="zh-CN" w:bidi="ar"/>
        </w:rPr>
        <w:t>）鼓励延期收取保费。在受疫情影响较为严重的地区，鼓励保险机构根据实际情况适当延长保单到期日或延期收取保费。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五、申报办理流程</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目前，人保财险东营分公司开办出口信用保险产品，国寿财险东营支公司开办营业中断损失保险产品，东营辖区大部分财险公司开办了</w:t>
      </w:r>
      <w:r>
        <w:rPr>
          <w:rFonts w:hint="default" w:ascii="仿宋_GB2312" w:hAnsi="仿宋_GB2312" w:eastAsia="仿宋_GB2312" w:cs="仿宋_GB2312"/>
          <w:color w:val="auto"/>
          <w:kern w:val="0"/>
          <w:sz w:val="32"/>
          <w:szCs w:val="32"/>
          <w:highlight w:val="none"/>
          <w:lang w:val="en-US" w:eastAsia="zh-CN" w:bidi="ar"/>
        </w:rPr>
        <w:t>财产损失险、货物运输险</w:t>
      </w:r>
      <w:r>
        <w:rPr>
          <w:rFonts w:hint="eastAsia" w:ascii="仿宋_GB2312" w:hAnsi="仿宋_GB2312" w:eastAsia="仿宋_GB2312" w:cs="仿宋_GB2312"/>
          <w:color w:val="auto"/>
          <w:kern w:val="0"/>
          <w:sz w:val="32"/>
          <w:szCs w:val="32"/>
          <w:highlight w:val="none"/>
          <w:lang w:val="en-US" w:eastAsia="zh-CN" w:bidi="ar"/>
        </w:rPr>
        <w:t>、</w:t>
      </w:r>
      <w:r>
        <w:rPr>
          <w:rFonts w:hint="default" w:ascii="仿宋_GB2312" w:hAnsi="仿宋_GB2312" w:eastAsia="仿宋_GB2312" w:cs="仿宋_GB2312"/>
          <w:color w:val="auto"/>
          <w:kern w:val="0"/>
          <w:sz w:val="32"/>
          <w:szCs w:val="32"/>
          <w:highlight w:val="none"/>
          <w:lang w:val="en-US" w:eastAsia="zh-CN" w:bidi="ar"/>
        </w:rPr>
        <w:t>雇主责任险</w:t>
      </w:r>
      <w:r>
        <w:rPr>
          <w:rFonts w:hint="eastAsia" w:ascii="仿宋_GB2312" w:hAnsi="仿宋_GB2312" w:eastAsia="仿宋_GB2312" w:cs="仿宋_GB2312"/>
          <w:color w:val="auto"/>
          <w:kern w:val="0"/>
          <w:sz w:val="32"/>
          <w:szCs w:val="32"/>
          <w:highlight w:val="none"/>
          <w:lang w:val="en-US" w:eastAsia="zh-CN" w:bidi="ar"/>
        </w:rPr>
        <w:t>等保险产品。</w:t>
      </w:r>
      <w:r>
        <w:rPr>
          <w:rFonts w:hint="default" w:ascii="仿宋_GB2312" w:hAnsi="仿宋_GB2312" w:eastAsia="仿宋_GB2312" w:cs="仿宋_GB2312"/>
          <w:color w:val="auto"/>
          <w:kern w:val="0"/>
          <w:sz w:val="32"/>
          <w:szCs w:val="32"/>
          <w:highlight w:val="none"/>
          <w:lang w:eastAsia="zh-CN" w:bidi="ar"/>
        </w:rPr>
        <w:t>因疫情</w:t>
      </w:r>
      <w:r>
        <w:rPr>
          <w:rFonts w:hint="eastAsia" w:ascii="仿宋_GB2312" w:hAnsi="仿宋_GB2312" w:eastAsia="仿宋_GB2312" w:cs="仿宋_GB2312"/>
          <w:color w:val="auto"/>
          <w:kern w:val="0"/>
          <w:sz w:val="32"/>
          <w:szCs w:val="32"/>
          <w:highlight w:val="none"/>
          <w:lang w:eastAsia="zh-CN" w:bidi="ar"/>
        </w:rPr>
        <w:t>影响</w:t>
      </w:r>
      <w:r>
        <w:rPr>
          <w:rFonts w:hint="default" w:ascii="仿宋_GB2312" w:hAnsi="仿宋_GB2312" w:eastAsia="仿宋_GB2312" w:cs="仿宋_GB2312"/>
          <w:color w:val="auto"/>
          <w:kern w:val="0"/>
          <w:sz w:val="32"/>
          <w:szCs w:val="32"/>
          <w:highlight w:val="none"/>
          <w:lang w:eastAsia="zh-CN" w:bidi="ar"/>
        </w:rPr>
        <w:t>暂时遇困行业企业</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val="en-US" w:eastAsia="zh-CN" w:bidi="ar"/>
        </w:rPr>
        <w:t>对受疫情影响严重的保险投保人</w:t>
      </w:r>
      <w:r>
        <w:rPr>
          <w:rFonts w:hint="eastAsia" w:ascii="仿宋_GB2312" w:hAnsi="仿宋_GB2312" w:eastAsia="仿宋_GB2312" w:cs="仿宋_GB2312"/>
          <w:color w:val="auto"/>
          <w:kern w:val="0"/>
          <w:sz w:val="32"/>
          <w:szCs w:val="32"/>
          <w:highlight w:val="none"/>
          <w:lang w:eastAsia="zh-CN" w:bidi="ar"/>
        </w:rPr>
        <w:t>结合自身情况可直接与</w:t>
      </w:r>
      <w:r>
        <w:rPr>
          <w:rFonts w:hint="eastAsia" w:ascii="仿宋_GB2312" w:hAnsi="仿宋_GB2312" w:eastAsia="仿宋_GB2312" w:cs="仿宋_GB2312"/>
          <w:sz w:val="32"/>
          <w:szCs w:val="32"/>
          <w:lang w:val="en-US" w:eastAsia="zh-CN"/>
        </w:rPr>
        <w:t>保险公司网点咨询办理。</w:t>
      </w:r>
    </w:p>
    <w:p>
      <w:pPr>
        <w:pStyle w:val="2"/>
        <w:pageBreakBefore w:val="0"/>
        <w:kinsoku/>
        <w:wordWrap/>
        <w:overflowPunct/>
        <w:topLinePunct w:val="0"/>
        <w:bidi w:val="0"/>
        <w:spacing w:line="590" w:lineRule="exact"/>
        <w:ind w:left="0" w:leftChars="0" w:firstLine="640" w:firstLineChars="200"/>
        <w:rPr>
          <w:rFonts w:hint="eastAsia" w:ascii="仿宋_GB2312" w:hAnsi="仿宋_GB2312" w:eastAsia="仿宋_GB2312" w:cs="仿宋_GB2312"/>
          <w:color w:val="auto"/>
          <w:kern w:val="2"/>
          <w:sz w:val="32"/>
          <w:szCs w:val="32"/>
          <w:lang w:val="en-US" w:eastAsia="zh-CN" w:bidi="ar-SA"/>
        </w:rPr>
      </w:pPr>
    </w:p>
    <w:p>
      <w:pPr>
        <w:pStyle w:val="2"/>
        <w:pageBreakBefore w:val="0"/>
        <w:kinsoku/>
        <w:wordWrap/>
        <w:overflowPunct/>
        <w:topLinePunct w:val="0"/>
        <w:bidi w:val="0"/>
        <w:spacing w:line="590" w:lineRule="exact"/>
        <w:ind w:left="0" w:leftChars="0" w:firstLine="640" w:firstLineChars="200"/>
        <w:rPr>
          <w:rFonts w:hint="eastAsia" w:ascii="CESI楷体-GB2312" w:hAnsi="CESI楷体-GB2312" w:eastAsia="CESI楷体-GB2312" w:cs="CESI楷体-GB2312"/>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CESI楷体-GB2312" w:hAnsi="CESI楷体-GB2312" w:eastAsia="CESI楷体-GB2312" w:cs="CESI楷体-GB2312"/>
          <w:color w:val="auto"/>
          <w:kern w:val="2"/>
          <w:sz w:val="32"/>
          <w:szCs w:val="32"/>
          <w:lang w:val="en-US" w:eastAsia="zh-CN" w:bidi="ar-SA"/>
        </w:rPr>
        <w:t>主办单位：东营银保监分局  联系电话：7769577</w:t>
      </w:r>
    </w:p>
    <w:p>
      <w:pPr>
        <w:pStyle w:val="2"/>
        <w:pageBreakBefore w:val="0"/>
        <w:kinsoku/>
        <w:wordWrap/>
        <w:overflowPunct/>
        <w:topLinePunct w:val="0"/>
        <w:bidi w:val="0"/>
        <w:spacing w:line="590" w:lineRule="exact"/>
      </w:pPr>
    </w:p>
    <w:p>
      <w:pPr>
        <w:pageBreakBefore w:val="0"/>
        <w:kinsoku/>
        <w:wordWrap/>
        <w:overflowPunct/>
        <w:topLinePunct w:val="0"/>
        <w:bidi w:val="0"/>
        <w:spacing w:line="590" w:lineRule="exact"/>
        <w:ind w:left="0" w:leftChars="0" w:firstLine="0" w:firstLineChars="0"/>
        <w:jc w:val="center"/>
        <w:outlineLvl w:val="1"/>
        <w:rPr>
          <w:rFonts w:ascii="黑体" w:hAnsi="黑体" w:eastAsia="黑体" w:cs="CESI黑体-GB2312"/>
          <w:sz w:val="32"/>
          <w:szCs w:val="32"/>
          <w:highlight w:val="none"/>
        </w:rPr>
      </w:pPr>
      <w:bookmarkStart w:id="31" w:name="_Toc253"/>
      <w:r>
        <w:rPr>
          <w:rFonts w:hint="eastAsia" w:ascii="方正小标宋简体" w:hAnsi="方正小标宋简体" w:eastAsia="方正小标宋简体" w:cs="方正小标宋简体"/>
          <w:sz w:val="36"/>
          <w:szCs w:val="36"/>
          <w:highlight w:val="none"/>
        </w:rPr>
        <w:t>中小微企业专利权质押贷款保险保费补贴</w:t>
      </w:r>
      <w:bookmarkEnd w:id="31"/>
    </w:p>
    <w:p>
      <w:pPr>
        <w:pageBreakBefore w:val="0"/>
        <w:kinsoku/>
        <w:wordWrap/>
        <w:overflowPunct/>
        <w:topLinePunct w:val="0"/>
        <w:bidi w:val="0"/>
        <w:spacing w:line="590" w:lineRule="exact"/>
        <w:ind w:firstLine="636"/>
        <w:rPr>
          <w:rFonts w:ascii="方正仿宋_GB2312" w:hAnsi="CESI黑体-GB2312" w:eastAsia="方正仿宋_GB2312" w:cs="CESI黑体-GB2312"/>
          <w:sz w:val="32"/>
          <w:szCs w:val="32"/>
        </w:rPr>
      </w:pPr>
    </w:p>
    <w:p>
      <w:pPr>
        <w:pageBreakBefore w:val="0"/>
        <w:kinsoku/>
        <w:wordWrap/>
        <w:overflowPunct/>
        <w:topLinePunct w:val="0"/>
        <w:bidi w:val="0"/>
        <w:spacing w:line="590" w:lineRule="exact"/>
        <w:ind w:firstLine="636"/>
        <w:rPr>
          <w:rFonts w:ascii="黑体" w:hAnsi="黑体" w:eastAsia="黑体" w:cs="CESI黑体-GB2312"/>
          <w:sz w:val="32"/>
          <w:szCs w:val="32"/>
        </w:rPr>
      </w:pPr>
      <w:r>
        <w:rPr>
          <w:rFonts w:hint="eastAsia" w:ascii="黑体" w:hAnsi="黑体" w:eastAsia="黑体" w:cs="CESI黑体-GB2312"/>
          <w:sz w:val="32"/>
          <w:szCs w:val="32"/>
        </w:rPr>
        <w:t>一、服务对象和范围</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在山东省行政区域内（不含计划单列市）注册，具有独立法人资格，符合国家中小微企业划型标准规定的企业。</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申请专利权质押贷款保险保费补贴应符合如下基本条件：（1）企业在山东省行政区域内（不含计划单列市）注册，具有独立法人资格，符合国家中小微企业划型标准规定。（2）企业是出质专利权的权利人，专利权权属清晰、合法有效。（3）企业购买专利权质押贷款保险，已缴纳专利权质押贷款保险保费。鼓励保险机构先按照扣除财政补贴政策测算数额后的金额向贷款企业收取专利权质押贷款保险费用，之后统一向所在市市场监管局代为申请保费补贴。 </w:t>
      </w:r>
    </w:p>
    <w:p>
      <w:pPr>
        <w:pageBreakBefore w:val="0"/>
        <w:kinsoku/>
        <w:wordWrap/>
        <w:overflowPunct/>
        <w:topLinePunct w:val="0"/>
        <w:bidi w:val="0"/>
        <w:spacing w:line="590" w:lineRule="exact"/>
        <w:ind w:firstLine="636"/>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概念解释：</w:t>
      </w:r>
      <w:r>
        <w:rPr>
          <w:rFonts w:hint="eastAsia" w:ascii="仿宋_GB2312" w:hAnsi="仿宋_GB2312" w:eastAsia="仿宋_GB2312" w:cs="仿宋_GB2312"/>
          <w:sz w:val="32"/>
          <w:szCs w:val="32"/>
          <w:lang w:val="en-US" w:eastAsia="zh-CN"/>
        </w:rPr>
        <w:t xml:space="preserve">专利权质押贷款保险，是指企业以专利权质押方式向银行申请贷款时向保险机构投保，当贷款人未按合同约定履行还贷义务，由保险机构按照合同约定承担相应贷款损失赔偿责任的保险业务。  </w:t>
      </w:r>
    </w:p>
    <w:p>
      <w:pPr>
        <w:pageBreakBefore w:val="0"/>
        <w:kinsoku/>
        <w:wordWrap/>
        <w:overflowPunct/>
        <w:topLinePunct w:val="0"/>
        <w:bidi w:val="0"/>
        <w:spacing w:line="590" w:lineRule="exact"/>
        <w:ind w:firstLine="636"/>
        <w:rPr>
          <w:rFonts w:hint="eastAsia" w:ascii="黑体" w:hAnsi="黑体" w:eastAsia="黑体" w:cs="CESI黑体-GB2312"/>
          <w:sz w:val="32"/>
          <w:szCs w:val="32"/>
          <w:lang w:val="en-US" w:eastAsia="zh-CN"/>
        </w:rPr>
      </w:pPr>
      <w:r>
        <w:rPr>
          <w:rFonts w:hint="eastAsia" w:ascii="黑体" w:hAnsi="黑体" w:eastAsia="黑体" w:cs="CESI黑体-GB2312"/>
          <w:sz w:val="32"/>
          <w:szCs w:val="32"/>
          <w:lang w:val="en-US" w:eastAsia="zh-CN"/>
        </w:rPr>
        <w:t>二、政策名称或政策依据</w:t>
      </w:r>
    </w:p>
    <w:p>
      <w:pPr>
        <w:pageBreakBefore w:val="0"/>
        <w:kinsoku/>
        <w:wordWrap/>
        <w:overflowPunct/>
        <w:topLinePunct w:val="0"/>
        <w:bidi w:val="0"/>
        <w:spacing w:line="590" w:lineRule="exact"/>
        <w:ind w:firstLine="636"/>
        <w:rPr>
          <w:rFonts w:ascii="方正仿宋_GB2312" w:hAnsi="CESI黑体-GB2312" w:eastAsia="方正仿宋_GB2312" w:cs="CESI黑体-GB2312"/>
          <w:sz w:val="32"/>
          <w:szCs w:val="32"/>
        </w:rPr>
      </w:pPr>
      <w:r>
        <w:rPr>
          <w:rFonts w:hint="eastAsia" w:ascii="仿宋_GB2312" w:hAnsi="楷体" w:eastAsia="仿宋_GB2312" w:cstheme="minorBidi"/>
          <w:kern w:val="2"/>
          <w:sz w:val="32"/>
          <w:szCs w:val="32"/>
          <w:lang w:val="en-US" w:eastAsia="zh-CN" w:bidi="ar-SA"/>
        </w:rPr>
        <w:t xml:space="preserve">2021年9月1日，山东省市场监管局会同山东省银保监局出台了《关于印发〈山东省中小微企业专利权质押贷款保险保费补贴申报指南〉的通知》（鲁市监发〔2021〕26号）。 </w:t>
      </w:r>
      <w:r>
        <w:rPr>
          <w:rFonts w:hint="eastAsia" w:ascii="方正仿宋_GB2312" w:hAnsi="CESI黑体-GB2312" w:eastAsia="方正仿宋_GB2312" w:cs="CESI黑体-GB2312"/>
          <w:sz w:val="32"/>
          <w:szCs w:val="32"/>
        </w:rPr>
        <w:t xml:space="preserve"> </w:t>
      </w:r>
    </w:p>
    <w:p>
      <w:pPr>
        <w:pageBreakBefore w:val="0"/>
        <w:kinsoku/>
        <w:wordWrap/>
        <w:overflowPunct/>
        <w:topLinePunct w:val="0"/>
        <w:bidi w:val="0"/>
        <w:spacing w:line="590" w:lineRule="exact"/>
        <w:ind w:firstLine="636"/>
        <w:rPr>
          <w:rFonts w:hint="eastAsia" w:ascii="黑体" w:hAnsi="黑体" w:eastAsia="黑体" w:cs="CESI黑体-GB2312"/>
          <w:sz w:val="32"/>
          <w:szCs w:val="32"/>
          <w:lang w:val="en-US" w:eastAsia="zh-CN"/>
        </w:rPr>
      </w:pPr>
      <w:r>
        <w:rPr>
          <w:rFonts w:hint="eastAsia" w:ascii="黑体" w:hAnsi="黑体" w:eastAsia="黑体" w:cs="CESI黑体-GB2312"/>
          <w:sz w:val="32"/>
          <w:szCs w:val="32"/>
          <w:lang w:val="en-US" w:eastAsia="zh-CN"/>
        </w:rPr>
        <w:t>三、政策措施内容及标准</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 xml:space="preserve">中小微企业投保专利权质押贷款保险的，省财政按照企业缴纳保费60%的标准给予补贴，单户企业年度补贴总额不超过6万元；对国家知识产权示范企业补贴比例可提高到80%，单户企业年度补贴总额不超过8万元。  </w:t>
      </w:r>
    </w:p>
    <w:p>
      <w:pPr>
        <w:pageBreakBefore w:val="0"/>
        <w:kinsoku/>
        <w:wordWrap/>
        <w:overflowPunct/>
        <w:topLinePunct w:val="0"/>
        <w:bidi w:val="0"/>
        <w:spacing w:line="590" w:lineRule="exact"/>
        <w:ind w:firstLine="636"/>
        <w:rPr>
          <w:rFonts w:hint="eastAsia" w:ascii="黑体" w:hAnsi="黑体" w:eastAsia="黑体" w:cs="CESI黑体-GB2312"/>
          <w:sz w:val="32"/>
          <w:szCs w:val="32"/>
          <w:lang w:val="en-US" w:eastAsia="zh-CN"/>
        </w:rPr>
      </w:pPr>
      <w:r>
        <w:rPr>
          <w:rFonts w:hint="eastAsia" w:ascii="黑体" w:hAnsi="黑体" w:eastAsia="黑体" w:cs="CESI黑体-GB2312"/>
          <w:sz w:val="32"/>
          <w:szCs w:val="32"/>
          <w:lang w:val="en-US" w:eastAsia="zh-CN"/>
        </w:rPr>
        <w:t>四、申报办理流程</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1．各市市场监管局发布申报通知，企业按要求提报申请材料。</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2．各市市场监管局联合银保监分局对申请材料进行审核。</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3．各市市场监管局对审核结果进行汇总，提出补贴分配方案，在门户网站予以公示，公示时间不少于5个工作日。</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4．公示无异议后，各市市场监管局确定补贴分配方案，提报本级财政部门，并报省市场监管局备案。</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 xml:space="preserve">5．各市财政局根据补贴分配方案拨付资金，并报省级财政厅备案。  </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p>
    <w:p>
      <w:pPr>
        <w:pageBreakBefore w:val="0"/>
        <w:kinsoku/>
        <w:wordWrap/>
        <w:overflowPunct/>
        <w:topLinePunct w:val="0"/>
        <w:bidi w:val="0"/>
        <w:spacing w:line="590" w:lineRule="exact"/>
        <w:ind w:firstLine="636"/>
        <w:rPr>
          <w:rFonts w:hint="eastAsia" w:ascii="CESI楷体-GB2312" w:hAnsi="CESI楷体-GB2312" w:eastAsia="CESI楷体-GB2312" w:cs="CESI楷体-GB2312"/>
          <w:kern w:val="2"/>
          <w:sz w:val="32"/>
          <w:szCs w:val="32"/>
          <w:lang w:val="en-US" w:eastAsia="zh-CN" w:bidi="ar-SA"/>
        </w:rPr>
      </w:pPr>
      <w:r>
        <w:rPr>
          <w:rFonts w:hint="eastAsia" w:ascii="CESI楷体-GB2312" w:hAnsi="CESI楷体-GB2312" w:eastAsia="CESI楷体-GB2312" w:cs="CESI楷体-GB2312"/>
          <w:kern w:val="2"/>
          <w:sz w:val="32"/>
          <w:szCs w:val="32"/>
          <w:lang w:val="en-US" w:eastAsia="zh-CN" w:bidi="ar-SA"/>
        </w:rPr>
        <w:t>主办单位：市知识产权保护中心   联系电话：8332015</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br w:type="page"/>
      </w:r>
    </w:p>
    <w:p>
      <w:pPr>
        <w:pageBreakBefore w:val="0"/>
        <w:kinsoku/>
        <w:wordWrap/>
        <w:overflowPunct/>
        <w:topLinePunct w:val="0"/>
        <w:bidi w:val="0"/>
        <w:spacing w:line="590" w:lineRule="exact"/>
        <w:ind w:left="0" w:leftChars="0" w:firstLine="0" w:firstLineChars="0"/>
        <w:jc w:val="center"/>
        <w:outlineLvl w:val="1"/>
        <w:rPr>
          <w:rFonts w:hint="eastAsia" w:ascii="方正小标宋简体" w:hAnsi="方正小标宋简体" w:eastAsia="方正小标宋简体" w:cs="方正小标宋简体"/>
          <w:sz w:val="36"/>
          <w:szCs w:val="36"/>
          <w:highlight w:val="none"/>
        </w:rPr>
      </w:pPr>
    </w:p>
    <w:p>
      <w:pPr>
        <w:pageBreakBefore w:val="0"/>
        <w:kinsoku/>
        <w:wordWrap/>
        <w:overflowPunct/>
        <w:topLinePunct w:val="0"/>
        <w:bidi w:val="0"/>
        <w:spacing w:line="590" w:lineRule="exact"/>
        <w:ind w:left="0" w:leftChars="0" w:firstLine="0" w:firstLineChars="0"/>
        <w:jc w:val="center"/>
        <w:outlineLvl w:val="1"/>
        <w:rPr>
          <w:rFonts w:ascii="黑体" w:hAnsi="黑体" w:eastAsia="黑体" w:cs="CESI黑体-GB2312"/>
          <w:sz w:val="32"/>
          <w:szCs w:val="32"/>
        </w:rPr>
      </w:pPr>
      <w:bookmarkStart w:id="32" w:name="_Toc3897"/>
      <w:r>
        <w:rPr>
          <w:rFonts w:hint="eastAsia" w:ascii="方正小标宋简体" w:hAnsi="方正小标宋简体" w:eastAsia="方正小标宋简体" w:cs="方正小标宋简体"/>
          <w:sz w:val="36"/>
          <w:szCs w:val="36"/>
          <w:highlight w:val="none"/>
        </w:rPr>
        <w:t>山东省企业知识产保险扶持项目</w:t>
      </w:r>
      <w:bookmarkEnd w:id="32"/>
    </w:p>
    <w:p>
      <w:pPr>
        <w:pageBreakBefore w:val="0"/>
        <w:kinsoku/>
        <w:wordWrap/>
        <w:overflowPunct/>
        <w:topLinePunct w:val="0"/>
        <w:bidi w:val="0"/>
        <w:spacing w:line="590" w:lineRule="exact"/>
        <w:ind w:firstLine="636"/>
        <w:rPr>
          <w:rFonts w:ascii="方正仿宋_GB2312" w:hAnsi="CESI黑体-GB2312" w:eastAsia="方正仿宋_GB2312" w:cs="CESI黑体-GB2312"/>
          <w:sz w:val="32"/>
          <w:szCs w:val="32"/>
        </w:rPr>
      </w:pPr>
    </w:p>
    <w:p>
      <w:pPr>
        <w:pageBreakBefore w:val="0"/>
        <w:kinsoku/>
        <w:wordWrap/>
        <w:overflowPunct/>
        <w:topLinePunct w:val="0"/>
        <w:bidi w:val="0"/>
        <w:spacing w:line="590" w:lineRule="exact"/>
        <w:ind w:firstLine="636"/>
        <w:rPr>
          <w:rFonts w:hint="eastAsia" w:ascii="CESI黑体-GB2312" w:hAnsi="CESI黑体-GB2312" w:eastAsia="CESI黑体-GB2312" w:cs="CESI黑体-GB2312"/>
          <w:kern w:val="2"/>
          <w:sz w:val="32"/>
          <w:szCs w:val="32"/>
          <w:lang w:val="en-US" w:eastAsia="zh-CN" w:bidi="ar-SA"/>
        </w:rPr>
      </w:pPr>
      <w:r>
        <w:rPr>
          <w:rFonts w:hint="eastAsia" w:ascii="CESI黑体-GB2312" w:hAnsi="CESI黑体-GB2312" w:eastAsia="CESI黑体-GB2312" w:cs="CESI黑体-GB2312"/>
          <w:kern w:val="2"/>
          <w:sz w:val="32"/>
          <w:szCs w:val="32"/>
          <w:lang w:val="en-US" w:eastAsia="zh-CN" w:bidi="ar-SA"/>
        </w:rPr>
        <w:t>一、服务对象和范围</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在山东省行政区域内（不含青岛市）注册，具有独立法人资格的企业。申请补贴资金的企业应具备以下条件：</w:t>
      </w:r>
    </w:p>
    <w:p>
      <w:pPr>
        <w:pageBreakBefore w:val="0"/>
        <w:numPr>
          <w:ilvl w:val="0"/>
          <w:numId w:val="3"/>
        </w:numPr>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在山东省行政区域（不含青岛市）内注册，具有独立法人资格；（二）依法经营、管理规范，无不良信用记录；（三）企业为专利权人或被许可人，投保专利为有效发明、实用新型、外观设计专利，专利在投保时无正在发生的权属纠纷、侵权纠纷。</w:t>
      </w:r>
    </w:p>
    <w:p>
      <w:pPr>
        <w:pageBreakBefore w:val="0"/>
        <w:numPr>
          <w:ilvl w:val="0"/>
          <w:numId w:val="0"/>
        </w:numPr>
        <w:kinsoku/>
        <w:wordWrap/>
        <w:overflowPunct/>
        <w:topLinePunct w:val="0"/>
        <w:bidi w:val="0"/>
        <w:spacing w:line="590" w:lineRule="exact"/>
        <w:ind w:firstLine="640" w:firstLineChars="200"/>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开展专利保险业务的保险公司应满足以下条件：</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（一）在山东省行政区域内注册开展保险业务；</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（二）具有专利保险承保经验，风险管理能力强，机构网络健全，承保理赔服务优质；</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三）专利执行险提供不低于专利保险费20倍的保单累计赔偿限额，专利被侵权损失险提供不低于专利保险费40倍的保单累计赔偿限额，专利执行险和专利被侵权损失险组合产品提供不低于保险费40倍的保单累计赔偿限额，不能通过规定过低的单次赔偿限额或分项赔偿限额对被保险人利益进行不合理限制；</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 xml:space="preserve">（四）保险监督管理部门要求的其他条件。 </w:t>
      </w:r>
    </w:p>
    <w:p>
      <w:pPr>
        <w:pageBreakBefore w:val="0"/>
        <w:kinsoku/>
        <w:wordWrap/>
        <w:overflowPunct/>
        <w:topLinePunct w:val="0"/>
        <w:bidi w:val="0"/>
        <w:spacing w:line="590" w:lineRule="exact"/>
        <w:ind w:firstLine="636"/>
        <w:rPr>
          <w:rFonts w:hint="eastAsia" w:ascii="CESI黑体-GB2312" w:hAnsi="CESI黑体-GB2312" w:eastAsia="CESI黑体-GB2312" w:cs="CESI黑体-GB2312"/>
          <w:kern w:val="2"/>
          <w:sz w:val="32"/>
          <w:szCs w:val="32"/>
          <w:lang w:val="en-US" w:eastAsia="zh-CN" w:bidi="ar-SA"/>
        </w:rPr>
      </w:pPr>
      <w:r>
        <w:rPr>
          <w:rFonts w:hint="eastAsia" w:ascii="CESI黑体-GB2312" w:hAnsi="CESI黑体-GB2312" w:eastAsia="CESI黑体-GB2312" w:cs="CESI黑体-GB2312"/>
          <w:kern w:val="2"/>
          <w:sz w:val="32"/>
          <w:szCs w:val="32"/>
          <w:lang w:val="en-US" w:eastAsia="zh-CN" w:bidi="ar-SA"/>
        </w:rPr>
        <w:t>二、概念解释</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专利保险，是指经保险监督管理部门批准、由国内依法设立的保险公司开展的专利保险业务，包括知识产权海外侵权责任险、专利执行险、专利被侵权损失险等保险产品。</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知识产权海外侵权责任险。被保险人在我国境外生产经营活动中（包括制造、使用、许诺销售、销售等），因境外第三方对被保险人产品（或方法）发出侵犯其专利权主张，包括发送警告函、提起诉讼，或请求海关、行政或司法机关采取强制措施，被保险人为应对上述专利侵权纠纷而支出的律师费、行政处理费、诉讼费等相关法律费用以及承担的经济赔偿责任，保险人按照保险合同约定负责赔偿。</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专利执行险。指投保专利被侵权时，赔偿被保险人因正常维权而产生的调查费用、法律费用等的保险。</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专利被侵权损失险。指投保专利被侵权时，赔偿被保险人因被侵权造成的直接经济损失的保险。</w:t>
      </w:r>
    </w:p>
    <w:p>
      <w:pPr>
        <w:pageBreakBefore w:val="0"/>
        <w:kinsoku/>
        <w:wordWrap/>
        <w:overflowPunct/>
        <w:topLinePunct w:val="0"/>
        <w:bidi w:val="0"/>
        <w:spacing w:line="590" w:lineRule="exact"/>
        <w:ind w:firstLine="636"/>
        <w:rPr>
          <w:rFonts w:hint="eastAsia" w:ascii="CESI黑体-GB2312" w:hAnsi="CESI黑体-GB2312" w:eastAsia="CESI黑体-GB2312" w:cs="CESI黑体-GB2312"/>
          <w:kern w:val="2"/>
          <w:sz w:val="32"/>
          <w:szCs w:val="32"/>
          <w:lang w:val="en-US" w:eastAsia="zh-CN" w:bidi="ar-SA"/>
        </w:rPr>
      </w:pPr>
      <w:r>
        <w:rPr>
          <w:rFonts w:hint="eastAsia" w:ascii="CESI黑体-GB2312" w:hAnsi="CESI黑体-GB2312" w:eastAsia="CESI黑体-GB2312" w:cs="CESI黑体-GB2312"/>
          <w:kern w:val="2"/>
          <w:sz w:val="32"/>
          <w:szCs w:val="32"/>
          <w:lang w:val="en-US" w:eastAsia="zh-CN" w:bidi="ar-SA"/>
        </w:rPr>
        <w:t>三、政策名称或政策依据</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 xml:space="preserve">2021年8月25日，山东省市场监管局会同省财政厅、省银保监局出台了《关于印发〈山东省企业知识产权保险扶持项目管理实施办法〉的通知》（鲁市监知保字〔2021〕195号）。  </w:t>
      </w:r>
    </w:p>
    <w:p>
      <w:pPr>
        <w:pageBreakBefore w:val="0"/>
        <w:kinsoku/>
        <w:wordWrap/>
        <w:overflowPunct/>
        <w:topLinePunct w:val="0"/>
        <w:bidi w:val="0"/>
        <w:spacing w:line="590" w:lineRule="exact"/>
        <w:ind w:firstLine="636"/>
        <w:rPr>
          <w:rFonts w:hint="eastAsia" w:ascii="CESI黑体-GB2312" w:hAnsi="CESI黑体-GB2312" w:eastAsia="CESI黑体-GB2312" w:cs="CESI黑体-GB2312"/>
          <w:kern w:val="2"/>
          <w:sz w:val="32"/>
          <w:szCs w:val="32"/>
          <w:lang w:val="en-US" w:eastAsia="zh-CN" w:bidi="ar-SA"/>
        </w:rPr>
      </w:pPr>
      <w:r>
        <w:rPr>
          <w:rFonts w:hint="eastAsia" w:ascii="CESI黑体-GB2312" w:hAnsi="CESI黑体-GB2312" w:eastAsia="CESI黑体-GB2312" w:cs="CESI黑体-GB2312"/>
          <w:kern w:val="2"/>
          <w:sz w:val="32"/>
          <w:szCs w:val="32"/>
          <w:lang w:val="en-US" w:eastAsia="zh-CN" w:bidi="ar-SA"/>
        </w:rPr>
        <w:t>四、政策措施内容及标准</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专利保险财政扶持工作遵循“政府引导、市场运作、鼓励创新”的原则。</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保险公司设置政府扶持的知识产权保险产品，应接受省市场监管局（省知识产权局）的工作指导，需报省市场监管局（省知识产权局）备案。</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企业向保险公司投保专利保险，按实际投保年度保费60%的比例给予补贴。其中投保专利执行险、专利被侵权损失险的企业，年度补贴总额最高20万元，仅投保国内险的企业年度补贴总额最高6万元；投保知识产权海外侵权责任险的企业年度补贴总额最高40万元。</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高价值专利或企业投保的具体目标国是“一带一路”沿线国家或地区的，保费补贴标准上浮10%。其中投保专利执行险、专利被侵权损失险的企业，年度补贴总额最高30万元，投保知识产权海外侵权责任险的企业年度补贴总额最高50万元。</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专利保险的期限为一年，参保企业年中退保不享受补贴。</w:t>
      </w:r>
    </w:p>
    <w:p>
      <w:pPr>
        <w:pageBreakBefore w:val="0"/>
        <w:kinsoku/>
        <w:wordWrap/>
        <w:overflowPunct/>
        <w:topLinePunct w:val="0"/>
        <w:bidi w:val="0"/>
        <w:spacing w:line="590" w:lineRule="exact"/>
        <w:ind w:firstLine="636"/>
        <w:rPr>
          <w:rFonts w:hint="eastAsia" w:ascii="CESI黑体-GB2312" w:hAnsi="CESI黑体-GB2312" w:eastAsia="CESI黑体-GB2312" w:cs="CESI黑体-GB2312"/>
          <w:kern w:val="2"/>
          <w:sz w:val="32"/>
          <w:szCs w:val="32"/>
          <w:lang w:val="en-US" w:eastAsia="zh-CN" w:bidi="ar-SA"/>
        </w:rPr>
      </w:pPr>
      <w:r>
        <w:rPr>
          <w:rFonts w:hint="eastAsia" w:ascii="CESI黑体-GB2312" w:hAnsi="CESI黑体-GB2312" w:eastAsia="CESI黑体-GB2312" w:cs="CESI黑体-GB2312"/>
          <w:kern w:val="2"/>
          <w:sz w:val="32"/>
          <w:szCs w:val="32"/>
          <w:lang w:val="en-US" w:eastAsia="zh-CN" w:bidi="ar-SA"/>
        </w:rPr>
        <w:t>五、申报办理流程</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1．保费补贴每年统一申报一次，每个申报周期内企业仅能申报一次。省市场监管局（省知识产权局）每年发布申报通知，符合条件的企业按照通知要求向市市场监管局（市知识产权局）提交保费补贴申报材料，省管企业直接向省市场监管局（省知识产权局）申报。</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2．市市场监管局（市知识产权局）会同市财政局、市银保监分局对本市企业专利扶持项目进行审核，将符合条件的企业申报资料报省市场监管局（省知识产权局）。</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3．省市场监管局（省知识产权局）会同省财政厅、山东银保监局对有关材料进行审核，提出扶持项目名单，通过省市场监管局（省知识产权局）网站公示5个工作日。</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r>
        <w:rPr>
          <w:rFonts w:hint="eastAsia" w:ascii="仿宋_GB2312" w:hAnsi="楷体" w:eastAsia="仿宋_GB2312" w:cstheme="minorBidi"/>
          <w:kern w:val="2"/>
          <w:sz w:val="32"/>
          <w:szCs w:val="32"/>
          <w:lang w:val="en-US" w:eastAsia="zh-CN" w:bidi="ar-SA"/>
        </w:rPr>
        <w:t>4．对公示无异议的企业，省财政厅研究确定本年度财政扶持项目及资金额度，并逐级下达到各市、省财政直接管理县（市）。</w:t>
      </w:r>
    </w:p>
    <w:p>
      <w:pPr>
        <w:pageBreakBefore w:val="0"/>
        <w:kinsoku/>
        <w:wordWrap/>
        <w:overflowPunct/>
        <w:topLinePunct w:val="0"/>
        <w:bidi w:val="0"/>
        <w:spacing w:line="590" w:lineRule="exact"/>
        <w:ind w:firstLine="636"/>
        <w:rPr>
          <w:rFonts w:hint="eastAsia" w:ascii="仿宋_GB2312" w:hAnsi="楷体" w:eastAsia="仿宋_GB2312" w:cstheme="minorBidi"/>
          <w:kern w:val="2"/>
          <w:sz w:val="32"/>
          <w:szCs w:val="32"/>
          <w:lang w:val="en-US" w:eastAsia="zh-CN" w:bidi="ar-SA"/>
        </w:rPr>
      </w:pPr>
    </w:p>
    <w:p>
      <w:pPr>
        <w:pageBreakBefore w:val="0"/>
        <w:kinsoku/>
        <w:wordWrap/>
        <w:overflowPunct/>
        <w:topLinePunct w:val="0"/>
        <w:bidi w:val="0"/>
        <w:spacing w:line="590" w:lineRule="exact"/>
        <w:ind w:firstLine="636"/>
        <w:rPr>
          <w:rFonts w:hint="eastAsia" w:ascii="CESI楷体-GB2312" w:hAnsi="CESI楷体-GB2312" w:eastAsia="CESI楷体-GB2312" w:cs="CESI楷体-GB2312"/>
          <w:kern w:val="2"/>
          <w:sz w:val="32"/>
          <w:szCs w:val="3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CESI楷体-GB2312" w:hAnsi="CESI楷体-GB2312" w:eastAsia="CESI楷体-GB2312" w:cs="CESI楷体-GB2312"/>
          <w:kern w:val="2"/>
          <w:sz w:val="32"/>
          <w:szCs w:val="32"/>
          <w:lang w:val="en-US" w:eastAsia="zh-CN" w:bidi="ar-SA"/>
        </w:rPr>
        <w:t>主办单位：市知识产权保护中心   联系电话：8332015</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color w:val="0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1"/>
        <w:rPr>
          <w:rFonts w:hint="eastAsia" w:ascii="宋体" w:hAnsi="宋体" w:eastAsia="宋体" w:cs="宋体"/>
          <w:b/>
          <w:bCs/>
          <w:color w:val="000000"/>
          <w:sz w:val="32"/>
          <w:szCs w:val="32"/>
          <w:lang w:val="en" w:eastAsia="zh-CN"/>
        </w:rPr>
      </w:pPr>
      <w:bookmarkStart w:id="33" w:name="_Toc32656"/>
      <w:r>
        <w:rPr>
          <w:rFonts w:hint="eastAsia" w:ascii="方正小标宋简体" w:hAnsi="方正小标宋简体" w:eastAsia="方正小标宋简体" w:cs="方正小标宋简体"/>
          <w:b w:val="0"/>
          <w:bCs w:val="0"/>
          <w:color w:val="000000"/>
          <w:sz w:val="36"/>
          <w:szCs w:val="36"/>
          <w:lang w:val="en-US" w:eastAsia="zh-CN"/>
        </w:rPr>
        <w:t>大闸蟹养殖气象指数保险</w:t>
      </w:r>
      <w:bookmarkEnd w:id="33"/>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000000"/>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CESI仿宋-GB2312" w:hAnsi="CESI仿宋-GB2312" w:eastAsia="CESI仿宋-GB2312" w:cs="CESI仿宋-GB2312"/>
          <w:color w:val="000000"/>
          <w:sz w:val="32"/>
          <w:szCs w:val="32"/>
          <w:lang w:val="en-US" w:eastAsia="zh-CN"/>
        </w:rPr>
      </w:pPr>
      <w:r>
        <w:rPr>
          <w:rFonts w:hint="eastAsia" w:ascii="Times New Roman" w:hAnsi="Times New Roman" w:eastAsia="黑体" w:cs="Times New Roman"/>
          <w:color w:val="000000"/>
          <w:kern w:val="2"/>
          <w:sz w:val="32"/>
          <w:szCs w:val="32"/>
          <w:lang w:val="en-US" w:eastAsia="zh-CN" w:bidi="ar-SA"/>
        </w:rPr>
        <w:t>一、服务对象和范围</w:t>
      </w:r>
    </w:p>
    <w:p>
      <w:pPr>
        <w:pageBreakBefore w:val="0"/>
        <w:kinsoku/>
        <w:wordWrap/>
        <w:overflowPunct/>
        <w:topLinePunct w:val="0"/>
        <w:bidi w:val="0"/>
        <w:spacing w:line="59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垦利区大闸蟹养殖户(含大闸蟹养殖个体户、龙头企业、专业合作社和家庭农场等新型农业经营主体)。</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000000"/>
          <w:kern w:val="2"/>
          <w:sz w:val="32"/>
          <w:szCs w:val="32"/>
          <w:lang w:val="en-US" w:eastAsia="zh-CN" w:bidi="ar-SA"/>
        </w:rPr>
      </w:pPr>
      <w:r>
        <w:rPr>
          <w:rFonts w:hint="eastAsia" w:ascii="Times New Roman" w:hAnsi="Times New Roman" w:eastAsia="黑体" w:cs="Times New Roman"/>
          <w:color w:val="000000"/>
          <w:sz w:val="32"/>
          <w:szCs w:val="32"/>
          <w:lang w:val="en-US" w:eastAsia="zh-CN"/>
        </w:rPr>
        <w:t>二</w:t>
      </w:r>
      <w:r>
        <w:rPr>
          <w:rFonts w:hint="eastAsia" w:ascii="Times New Roman" w:hAnsi="Times New Roman" w:eastAsia="黑体" w:cs="Times New Roman"/>
          <w:color w:val="000000"/>
          <w:sz w:val="32"/>
          <w:szCs w:val="32"/>
          <w:lang w:eastAsia="zh-CN"/>
        </w:rPr>
        <w:t>、</w:t>
      </w:r>
      <w:r>
        <w:rPr>
          <w:rFonts w:hint="eastAsia" w:ascii="Times New Roman" w:hAnsi="Times New Roman" w:eastAsia="黑体" w:cs="Times New Roman"/>
          <w:color w:val="000000"/>
          <w:sz w:val="32"/>
          <w:szCs w:val="32"/>
        </w:rPr>
        <w:t>政策名称</w:t>
      </w:r>
      <w:r>
        <w:rPr>
          <w:rFonts w:hint="eastAsia" w:ascii="Times New Roman" w:hAnsi="Times New Roman" w:eastAsia="黑体" w:cs="Times New Roman"/>
          <w:color w:val="000000"/>
          <w:sz w:val="32"/>
          <w:szCs w:val="32"/>
          <w:lang w:eastAsia="zh-CN"/>
        </w:rPr>
        <w:t>或政策依据</w:t>
      </w:r>
    </w:p>
    <w:p>
      <w:pPr>
        <w:pStyle w:val="19"/>
        <w:keepNext w:val="0"/>
        <w:keepLines w:val="0"/>
        <w:pageBreakBefore w:val="0"/>
        <w:widowControl/>
        <w:suppressLineNumbers w:val="0"/>
        <w:kinsoku/>
        <w:wordWrap/>
        <w:overflowPunct/>
        <w:topLinePunct w:val="0"/>
        <w:bidi w:val="0"/>
        <w:spacing w:beforeAutospacing="0" w:afterAutospacing="0" w:line="590" w:lineRule="exact"/>
        <w:ind w:left="0" w:right="0" w:firstLine="640"/>
        <w:jc w:val="left"/>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《山东省财政厅 山东省发展和改革委员会 山东省自然资源厅 山东省农业农村厅 山东省畜牧兽医局关于开展省财政对地方优势特色农产品保险以奖代补工作的通知》（鲁财金〔2019〕36 号）。</w:t>
      </w:r>
    </w:p>
    <w:p>
      <w:pPr>
        <w:pStyle w:val="19"/>
        <w:keepNext w:val="0"/>
        <w:keepLines w:val="0"/>
        <w:pageBreakBefore w:val="0"/>
        <w:widowControl/>
        <w:suppressLineNumbers w:val="0"/>
        <w:kinsoku/>
        <w:wordWrap/>
        <w:overflowPunct/>
        <w:topLinePunct w:val="0"/>
        <w:bidi w:val="0"/>
        <w:spacing w:beforeAutospacing="0" w:afterAutospacing="0" w:line="590" w:lineRule="exact"/>
        <w:ind w:left="0" w:right="0" w:firstLine="640"/>
        <w:jc w:val="left"/>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 w:eastAsia="zh-CN" w:bidi="ar-SA"/>
        </w:rPr>
        <w:t>《</w:t>
      </w:r>
      <w:r>
        <w:rPr>
          <w:rFonts w:hint="eastAsia" w:ascii="仿宋_GB2312" w:hAnsi="仿宋_GB2312" w:eastAsia="仿宋_GB2312" w:cs="仿宋_GB2312"/>
          <w:color w:val="000000"/>
          <w:kern w:val="2"/>
          <w:sz w:val="32"/>
          <w:szCs w:val="32"/>
          <w:lang w:val="en-US" w:eastAsia="zh-CN" w:bidi="ar-SA"/>
        </w:rPr>
        <w:t>东营市人民政府办公室</w:t>
      </w:r>
      <w:r>
        <w:rPr>
          <w:rFonts w:hint="eastAsia" w:ascii="仿宋_GB2312" w:hAnsi="仿宋_GB2312" w:eastAsia="仿宋_GB2312" w:cs="仿宋_GB2312"/>
          <w:color w:val="000000"/>
          <w:kern w:val="2"/>
          <w:sz w:val="32"/>
          <w:szCs w:val="32"/>
          <w:lang w:val="en" w:eastAsia="zh-CN" w:bidi="ar-SA"/>
        </w:rPr>
        <w:t>关于加快黄河口大闸蟹产业发展的实施意见》（东政办发〔2020〕12号）提出，</w:t>
      </w:r>
      <w:r>
        <w:rPr>
          <w:rFonts w:hint="eastAsia" w:ascii="仿宋_GB2312" w:hAnsi="仿宋_GB2312" w:eastAsia="仿宋_GB2312" w:cs="仿宋_GB2312"/>
          <w:color w:val="000000"/>
          <w:kern w:val="2"/>
          <w:sz w:val="32"/>
          <w:szCs w:val="32"/>
          <w:lang w:val="en-US" w:eastAsia="zh-CN" w:bidi="ar-SA"/>
        </w:rPr>
        <w:t>支持保险机构开展黄河口大闸蟹养殖保险</w:t>
      </w:r>
      <w:r>
        <w:rPr>
          <w:rFonts w:hint="eastAsia" w:ascii="仿宋_GB2312" w:hAnsi="仿宋_GB2312" w:eastAsia="仿宋_GB2312" w:cs="仿宋_GB2312"/>
          <w:color w:val="000000"/>
          <w:kern w:val="2"/>
          <w:sz w:val="32"/>
          <w:szCs w:val="32"/>
          <w:lang w:val="en" w:eastAsia="zh-CN" w:bidi="ar-SA"/>
        </w:rPr>
        <w:t>。文件有效期，</w:t>
      </w:r>
      <w:r>
        <w:rPr>
          <w:rFonts w:hint="eastAsia" w:ascii="仿宋_GB2312" w:hAnsi="仿宋_GB2312" w:eastAsia="仿宋_GB2312" w:cs="仿宋_GB2312"/>
          <w:color w:val="000000"/>
          <w:kern w:val="2"/>
          <w:sz w:val="32"/>
          <w:szCs w:val="32"/>
          <w:lang w:val="en-US" w:eastAsia="zh-CN" w:bidi="ar-SA"/>
        </w:rPr>
        <w:t>2020年9月18日至2025年9月17日。</w:t>
      </w:r>
    </w:p>
    <w:p>
      <w:pPr>
        <w:pageBreakBefore w:val="0"/>
        <w:kinsoku/>
        <w:wordWrap/>
        <w:overflowPunct/>
        <w:topLinePunct w:val="0"/>
        <w:autoSpaceDN w:val="0"/>
        <w:bidi w:val="0"/>
        <w:spacing w:line="590" w:lineRule="exact"/>
        <w:ind w:firstLine="640" w:firstLineChars="200"/>
        <w:jc w:val="both"/>
        <w:rPr>
          <w:rFonts w:hint="default"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《东营市财政局 东营市农业农村局等4部门关于开展2022年地方优势特色农产品保险工作的通知》（东财金〔2022〕8号），文件有效期，2022年5月30日至20221年12月31日。</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color w:val="000000"/>
          <w:lang w:val="en-US" w:eastAsia="zh-CN"/>
        </w:rPr>
      </w:pPr>
      <w:r>
        <w:rPr>
          <w:rFonts w:hint="eastAsia" w:ascii="Times New Roman" w:hAnsi="Times New Roman" w:eastAsia="黑体" w:cs="Times New Roman"/>
          <w:color w:val="000000"/>
          <w:kern w:val="2"/>
          <w:sz w:val="32"/>
          <w:szCs w:val="32"/>
          <w:lang w:val="en-US" w:eastAsia="zh-CN" w:bidi="ar-SA"/>
        </w:rPr>
        <w:t>三、政策措施内容及标准</w:t>
      </w:r>
    </w:p>
    <w:p>
      <w:pPr>
        <w:pStyle w:val="2"/>
        <w:pageBreakBefore w:val="0"/>
        <w:kinsoku/>
        <w:wordWrap/>
        <w:overflowPunct/>
        <w:topLinePunct w:val="0"/>
        <w:bidi w:val="0"/>
        <w:spacing w:line="590" w:lineRule="exact"/>
        <w:ind w:firstLine="64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在垦利区实施黄河口大闸蟹养殖气象指数保险，保费70元</w:t>
      </w:r>
      <w:r>
        <w:rPr>
          <w:rFonts w:hint="default" w:ascii="仿宋_GB2312" w:hAnsi="仿宋_GB2312" w:eastAsia="仿宋_GB2312" w:cs="仿宋_GB2312"/>
          <w:color w:val="000000"/>
          <w:kern w:val="2"/>
          <w:sz w:val="32"/>
          <w:szCs w:val="32"/>
          <w:lang w:val="en" w:eastAsia="zh-CN" w:bidi="ar-SA"/>
        </w:rPr>
        <w:t>/</w:t>
      </w:r>
      <w:r>
        <w:rPr>
          <w:rFonts w:hint="eastAsia" w:ascii="仿宋_GB2312" w:hAnsi="仿宋_GB2312" w:eastAsia="仿宋_GB2312" w:cs="仿宋_GB2312"/>
          <w:color w:val="000000"/>
          <w:kern w:val="2"/>
          <w:sz w:val="32"/>
          <w:szCs w:val="32"/>
          <w:lang w:val="en" w:eastAsia="zh-CN" w:bidi="ar-SA"/>
        </w:rPr>
        <w:t>亩，</w:t>
      </w:r>
      <w:r>
        <w:rPr>
          <w:rFonts w:hint="eastAsia" w:ascii="仿宋_GB2312" w:hAnsi="仿宋_GB2312" w:eastAsia="仿宋_GB2312" w:cs="仿宋_GB2312"/>
          <w:color w:val="000000"/>
          <w:kern w:val="2"/>
          <w:sz w:val="32"/>
          <w:szCs w:val="32"/>
          <w:lang w:val="en-US" w:eastAsia="zh-CN" w:bidi="ar-SA"/>
        </w:rPr>
        <w:t>预计投保面积2.23万亩。</w:t>
      </w:r>
      <w:r>
        <w:rPr>
          <w:rFonts w:hint="eastAsia" w:ascii="仿宋_GB2312" w:hAnsi="仿宋_GB2312" w:eastAsia="仿宋_GB2312" w:cs="仿宋_GB2312"/>
          <w:color w:val="000000"/>
          <w:kern w:val="2"/>
          <w:sz w:val="32"/>
          <w:szCs w:val="32"/>
          <w:lang w:val="en" w:eastAsia="zh-CN" w:bidi="ar-SA"/>
        </w:rPr>
        <w:t>大闸蟹气象指数保险费实行“个人交费+财政补贴”方式。其中：农户承保20%，区财政承担64%，市财政承担16%。按照投保2.23万亩规模测算，2022年度东营市垦利区大闸蟹养殖气象指数保险共计需要156.1万元，其中个人缴纳31.22万元，区财政承担99.90万元，市财政承担24.98万元。</w:t>
      </w:r>
    </w:p>
    <w:p>
      <w:pPr>
        <w:pageBreakBefore w:val="0"/>
        <w:kinsoku/>
        <w:wordWrap/>
        <w:overflowPunct/>
        <w:topLinePunct w:val="0"/>
        <w:bidi w:val="0"/>
        <w:adjustRightInd w:val="0"/>
        <w:snapToGrid w:val="0"/>
        <w:spacing w:line="590" w:lineRule="exact"/>
        <w:ind w:firstLine="640" w:firstLineChars="200"/>
        <w:rPr>
          <w:rFonts w:hint="eastAsia" w:ascii="仿宋_GB2312" w:hAnsi="仿宋_GB2312" w:eastAsia="仿宋_GB2312" w:cs="仿宋_GB2312"/>
          <w:color w:val="000000"/>
          <w:kern w:val="2"/>
          <w:sz w:val="32"/>
          <w:szCs w:val="32"/>
          <w:lang w:val="en" w:eastAsia="zh-CN" w:bidi="ar-SA"/>
        </w:rPr>
      </w:pPr>
      <w:r>
        <w:rPr>
          <w:rFonts w:hint="eastAsia" w:ascii="仿宋_GB2312" w:hAnsi="仿宋_GB2312" w:eastAsia="仿宋_GB2312" w:cs="仿宋_GB2312"/>
          <w:color w:val="000000"/>
          <w:kern w:val="2"/>
          <w:sz w:val="32"/>
          <w:szCs w:val="32"/>
          <w:lang w:val="en" w:eastAsia="zh-CN" w:bidi="ar-SA"/>
        </w:rPr>
        <w:t>保险大闸蟹每种保险责任对应的每份每亩保险金额均为1000元，详见下表。投保人每项保险责任仅限承保一份，并在保险单中载明。</w:t>
      </w:r>
    </w:p>
    <w:tbl>
      <w:tblPr>
        <w:tblStyle w:val="21"/>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1" w:type="dxa"/>
            <w:noWrap w:val="0"/>
            <w:vAlign w:val="top"/>
          </w:tcPr>
          <w:p>
            <w:pPr>
              <w:keepNext w:val="0"/>
              <w:keepLines w:val="0"/>
              <w:pageBreakBefore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color w:val="000000"/>
                <w:sz w:val="24"/>
                <w:szCs w:val="24"/>
              </w:rPr>
            </w:pPr>
            <w:r>
              <w:rPr>
                <w:rFonts w:hint="eastAsia" w:ascii="黑体" w:hAnsi="黑体" w:eastAsia="黑体" w:cs="黑体"/>
                <w:color w:val="000000"/>
                <w:sz w:val="24"/>
                <w:szCs w:val="24"/>
              </w:rPr>
              <w:t>保险责任</w:t>
            </w:r>
          </w:p>
        </w:tc>
        <w:tc>
          <w:tcPr>
            <w:tcW w:w="4261" w:type="dxa"/>
            <w:noWrap w:val="0"/>
            <w:vAlign w:val="top"/>
          </w:tcPr>
          <w:p>
            <w:pPr>
              <w:keepNext w:val="0"/>
              <w:keepLines w:val="0"/>
              <w:pageBreakBefore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color w:val="000000"/>
                <w:sz w:val="24"/>
                <w:szCs w:val="24"/>
              </w:rPr>
            </w:pPr>
            <w:r>
              <w:rPr>
                <w:rFonts w:hint="eastAsia" w:ascii="黑体" w:hAnsi="黑体" w:eastAsia="黑体" w:cs="黑体"/>
                <w:color w:val="000000"/>
                <w:sz w:val="24"/>
                <w:szCs w:val="24"/>
              </w:rPr>
              <w:t>单位保险金额（元/亩/份）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1" w:type="dxa"/>
            <w:noWrap w:val="0"/>
            <w:vAlign w:val="center"/>
          </w:tcPr>
          <w:p>
            <w:pPr>
              <w:keepNext w:val="0"/>
              <w:keepLines w:val="0"/>
              <w:pageBreakBefore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color w:val="000000"/>
                <w:sz w:val="24"/>
                <w:szCs w:val="24"/>
              </w:rPr>
            </w:pPr>
            <w:r>
              <w:rPr>
                <w:rFonts w:hint="eastAsia" w:ascii="黑体" w:hAnsi="黑体" w:eastAsia="黑体" w:cs="黑体"/>
                <w:color w:val="000000"/>
                <w:sz w:val="24"/>
                <w:szCs w:val="24"/>
              </w:rPr>
              <w:t>风灾事件</w:t>
            </w:r>
          </w:p>
        </w:tc>
        <w:tc>
          <w:tcPr>
            <w:tcW w:w="4261"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1" w:type="dxa"/>
            <w:noWrap w:val="0"/>
            <w:vAlign w:val="center"/>
          </w:tcPr>
          <w:p>
            <w:pPr>
              <w:keepNext w:val="0"/>
              <w:keepLines w:val="0"/>
              <w:pageBreakBefore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color w:val="000000"/>
                <w:sz w:val="24"/>
                <w:szCs w:val="24"/>
              </w:rPr>
            </w:pPr>
            <w:r>
              <w:rPr>
                <w:rFonts w:hint="eastAsia" w:ascii="黑体" w:hAnsi="黑体" w:eastAsia="黑体" w:cs="黑体"/>
                <w:color w:val="000000"/>
                <w:sz w:val="24"/>
                <w:szCs w:val="24"/>
              </w:rPr>
              <w:t>强降雨事件</w:t>
            </w:r>
          </w:p>
        </w:tc>
        <w:tc>
          <w:tcPr>
            <w:tcW w:w="4261" w:type="dxa"/>
            <w:noWrap w:val="0"/>
            <w:vAlign w:val="center"/>
          </w:tcPr>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1" w:type="dxa"/>
            <w:noWrap w:val="0"/>
            <w:vAlign w:val="center"/>
          </w:tcPr>
          <w:p>
            <w:pPr>
              <w:keepNext w:val="0"/>
              <w:keepLines w:val="0"/>
              <w:pageBreakBefore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color w:val="000000"/>
                <w:sz w:val="24"/>
                <w:szCs w:val="24"/>
              </w:rPr>
            </w:pPr>
            <w:r>
              <w:rPr>
                <w:rFonts w:hint="eastAsia" w:ascii="黑体" w:hAnsi="黑体" w:eastAsia="黑体" w:cs="黑体"/>
                <w:color w:val="000000"/>
                <w:sz w:val="24"/>
                <w:szCs w:val="24"/>
              </w:rPr>
              <w:t>合计</w:t>
            </w:r>
          </w:p>
        </w:tc>
        <w:tc>
          <w:tcPr>
            <w:tcW w:w="4261" w:type="dxa"/>
            <w:noWrap w:val="0"/>
            <w:vAlign w:val="center"/>
          </w:tcPr>
          <w:p>
            <w:pPr>
              <w:keepNext w:val="0"/>
              <w:keepLines w:val="0"/>
              <w:pageBreakBefore w:val="0"/>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2000</w:t>
            </w:r>
          </w:p>
        </w:tc>
      </w:tr>
    </w:tbl>
    <w:p>
      <w:pPr>
        <w:pageBreakBefore w:val="0"/>
        <w:kinsoku/>
        <w:wordWrap/>
        <w:overflowPunct/>
        <w:topLinePunct w:val="0"/>
        <w:bidi w:val="0"/>
        <w:adjustRightInd w:val="0"/>
        <w:snapToGrid w:val="0"/>
        <w:spacing w:line="590" w:lineRule="exact"/>
        <w:ind w:firstLine="640" w:firstLineChars="200"/>
        <w:rPr>
          <w:rFonts w:hint="eastAsia" w:ascii="仿宋_GB2312" w:hAnsi="仿宋_GB2312" w:eastAsia="仿宋_GB2312" w:cs="仿宋_GB2312"/>
          <w:color w:val="000000"/>
          <w:kern w:val="2"/>
          <w:sz w:val="32"/>
          <w:szCs w:val="32"/>
          <w:lang w:val="en" w:eastAsia="zh-CN" w:bidi="ar-SA"/>
        </w:rPr>
      </w:pPr>
      <w:r>
        <w:rPr>
          <w:rFonts w:hint="eastAsia" w:ascii="仿宋_GB2312" w:hAnsi="仿宋_GB2312" w:eastAsia="仿宋_GB2312" w:cs="仿宋_GB2312"/>
          <w:color w:val="000000"/>
          <w:kern w:val="2"/>
          <w:sz w:val="32"/>
          <w:szCs w:val="32"/>
          <w:lang w:val="en" w:eastAsia="zh-CN" w:bidi="ar-SA"/>
        </w:rPr>
        <w:t>保险金额=已选保险责任对应的单位保险金额（元/亩/份）×保险面积（亩）×投保份数（份）</w:t>
      </w:r>
    </w:p>
    <w:p>
      <w:pPr>
        <w:pageBreakBefore w:val="0"/>
        <w:kinsoku/>
        <w:wordWrap/>
        <w:overflowPunct/>
        <w:topLinePunct w:val="0"/>
        <w:bidi w:val="0"/>
        <w:adjustRightInd w:val="0"/>
        <w:snapToGrid w:val="0"/>
        <w:spacing w:line="590" w:lineRule="exact"/>
        <w:ind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 w:eastAsia="zh-CN" w:bidi="ar-SA"/>
        </w:rPr>
        <w:t>保险面积以保险单载明为准。</w:t>
      </w:r>
    </w:p>
    <w:p>
      <w:pPr>
        <w:pageBreakBefore w:val="0"/>
        <w:kinsoku/>
        <w:wordWrap/>
        <w:overflowPunct/>
        <w:topLinePunct w:val="0"/>
        <w:bidi w:val="0"/>
        <w:adjustRightInd w:val="0"/>
        <w:snapToGrid w:val="0"/>
        <w:spacing w:line="590" w:lineRule="exact"/>
        <w:ind w:firstLine="640" w:firstLineChars="200"/>
        <w:rPr>
          <w:rFonts w:hint="eastAsia" w:ascii="仿宋_GB2312" w:hAnsi="仿宋_GB2312" w:eastAsia="仿宋_GB2312" w:cs="仿宋_GB2312"/>
          <w:color w:val="000000"/>
          <w:kern w:val="2"/>
          <w:sz w:val="32"/>
          <w:szCs w:val="32"/>
          <w:lang w:val="en" w:eastAsia="zh-CN" w:bidi="ar-SA"/>
        </w:rPr>
      </w:pPr>
      <w:r>
        <w:rPr>
          <w:rFonts w:hint="eastAsia" w:ascii="仿宋_GB2312" w:hAnsi="仿宋_GB2312" w:eastAsia="仿宋_GB2312" w:cs="仿宋_GB2312"/>
          <w:color w:val="000000"/>
          <w:kern w:val="2"/>
          <w:sz w:val="32"/>
          <w:szCs w:val="32"/>
          <w:lang w:val="en" w:eastAsia="zh-CN" w:bidi="ar-SA"/>
        </w:rPr>
        <w:t>在保险单约定的投保地理区域内，保险大闸蟹发生保险责任范围内的损失，保险人按以下方式计算赔偿：</w:t>
      </w:r>
    </w:p>
    <w:p>
      <w:pPr>
        <w:pageBreakBefore w:val="0"/>
        <w:kinsoku/>
        <w:wordWrap/>
        <w:overflowPunct/>
        <w:topLinePunct w:val="0"/>
        <w:bidi w:val="0"/>
        <w:adjustRightInd w:val="0"/>
        <w:snapToGrid w:val="0"/>
        <w:spacing w:line="590" w:lineRule="exact"/>
        <w:ind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1、</w:t>
      </w:r>
      <w:r>
        <w:rPr>
          <w:rFonts w:hint="eastAsia" w:ascii="仿宋_GB2312" w:hAnsi="仿宋_GB2312" w:eastAsia="仿宋_GB2312" w:cs="仿宋_GB2312"/>
          <w:color w:val="000000"/>
          <w:kern w:val="2"/>
          <w:sz w:val="32"/>
          <w:szCs w:val="32"/>
          <w:lang w:val="en" w:eastAsia="zh-CN" w:bidi="ar-SA"/>
        </w:rPr>
        <w:t>投保地理区域内以保险合同约定的垦利气象站（站号：54744；坐标：118.55°E，37.58°N，海拔：8.5米）作为最佳气象观测站，并且以该气象站观测的日极大风速、日降雨量分别作为认定风灾事件、强降雨事件的依据，其他任何气象站观测的日极大风速、日降雨量数据均不得作为认定风灾事件、强降雨事件的依据。</w:t>
      </w:r>
    </w:p>
    <w:p>
      <w:pPr>
        <w:pageBreakBefore w:val="0"/>
        <w:kinsoku/>
        <w:wordWrap/>
        <w:overflowPunct/>
        <w:topLinePunct w:val="0"/>
        <w:bidi w:val="0"/>
        <w:adjustRightInd w:val="0"/>
        <w:snapToGrid w:val="0"/>
        <w:spacing w:line="590" w:lineRule="exact"/>
        <w:ind w:firstLine="640" w:firstLineChars="200"/>
        <w:rPr>
          <w:rFonts w:hint="eastAsia" w:ascii="仿宋_GB2312" w:hAnsi="仿宋_GB2312" w:eastAsia="仿宋_GB2312" w:cs="仿宋_GB2312"/>
          <w:color w:val="000000"/>
          <w:kern w:val="2"/>
          <w:sz w:val="32"/>
          <w:szCs w:val="32"/>
          <w:lang w:val="en" w:eastAsia="zh-CN" w:bidi="ar-SA"/>
        </w:rPr>
      </w:pPr>
      <w:r>
        <w:rPr>
          <w:rFonts w:hint="eastAsia" w:ascii="仿宋_GB2312" w:hAnsi="仿宋_GB2312" w:eastAsia="仿宋_GB2312" w:cs="仿宋_GB2312"/>
          <w:color w:val="000000"/>
          <w:kern w:val="2"/>
          <w:sz w:val="32"/>
          <w:szCs w:val="32"/>
          <w:lang w:val="en-US" w:eastAsia="zh-CN" w:bidi="ar-SA"/>
        </w:rPr>
        <w:t>2、</w:t>
      </w:r>
      <w:r>
        <w:rPr>
          <w:rFonts w:hint="eastAsia" w:ascii="仿宋_GB2312" w:hAnsi="仿宋_GB2312" w:eastAsia="仿宋_GB2312" w:cs="仿宋_GB2312"/>
          <w:color w:val="000000"/>
          <w:kern w:val="2"/>
          <w:sz w:val="32"/>
          <w:szCs w:val="32"/>
          <w:lang w:val="en" w:eastAsia="zh-CN" w:bidi="ar-SA"/>
        </w:rPr>
        <w:t>赔偿计算公式如下：</w:t>
      </w:r>
    </w:p>
    <w:p>
      <w:pPr>
        <w:pageBreakBefore w:val="0"/>
        <w:kinsoku/>
        <w:wordWrap/>
        <w:overflowPunct/>
        <w:topLinePunct w:val="0"/>
        <w:bidi w:val="0"/>
        <w:adjustRightInd w:val="0"/>
        <w:snapToGrid w:val="0"/>
        <w:spacing w:line="590" w:lineRule="exact"/>
        <w:ind w:firstLine="640" w:firstLineChars="200"/>
        <w:rPr>
          <w:rFonts w:hint="eastAsia" w:ascii="仿宋_GB2312" w:hAnsi="仿宋_GB2312" w:eastAsia="仿宋_GB2312" w:cs="仿宋_GB2312"/>
          <w:color w:val="000000"/>
          <w:kern w:val="2"/>
          <w:sz w:val="32"/>
          <w:szCs w:val="32"/>
          <w:lang w:val="en" w:eastAsia="zh-CN" w:bidi="ar-SA"/>
        </w:rPr>
      </w:pPr>
      <w:r>
        <w:rPr>
          <w:rFonts w:hint="eastAsia" w:ascii="仿宋_GB2312" w:hAnsi="仿宋_GB2312" w:eastAsia="仿宋_GB2312" w:cs="仿宋_GB2312"/>
          <w:color w:val="000000"/>
          <w:kern w:val="2"/>
          <w:sz w:val="32"/>
          <w:szCs w:val="32"/>
          <w:lang w:val="en" w:eastAsia="zh-CN" w:bidi="ar-SA"/>
        </w:rPr>
        <w:t>（</w:t>
      </w:r>
      <w:r>
        <w:rPr>
          <w:rFonts w:hint="eastAsia" w:ascii="仿宋_GB2312" w:hAnsi="仿宋_GB2312" w:eastAsia="仿宋_GB2312" w:cs="仿宋_GB2312"/>
          <w:color w:val="000000"/>
          <w:kern w:val="2"/>
          <w:sz w:val="32"/>
          <w:szCs w:val="32"/>
          <w:lang w:val="en-US" w:eastAsia="zh-CN" w:bidi="ar-SA"/>
        </w:rPr>
        <w:t>1</w:t>
      </w:r>
      <w:r>
        <w:rPr>
          <w:rFonts w:hint="eastAsia" w:ascii="仿宋_GB2312" w:hAnsi="仿宋_GB2312" w:eastAsia="仿宋_GB2312" w:cs="仿宋_GB2312"/>
          <w:color w:val="000000"/>
          <w:kern w:val="2"/>
          <w:sz w:val="32"/>
          <w:szCs w:val="32"/>
          <w:lang w:val="en" w:eastAsia="zh-CN" w:bidi="ar-SA"/>
        </w:rPr>
        <w:t>）风灾事件</w:t>
      </w:r>
    </w:p>
    <w:p>
      <w:pPr>
        <w:pageBreakBefore w:val="0"/>
        <w:kinsoku/>
        <w:wordWrap/>
        <w:overflowPunct/>
        <w:topLinePunct w:val="0"/>
        <w:bidi w:val="0"/>
        <w:adjustRightInd w:val="0"/>
        <w:snapToGrid w:val="0"/>
        <w:spacing w:line="590" w:lineRule="exact"/>
        <w:ind w:firstLine="640" w:firstLineChars="200"/>
        <w:rPr>
          <w:rFonts w:hint="eastAsia" w:ascii="仿宋_GB2312" w:hAnsi="仿宋_GB2312" w:eastAsia="仿宋_GB2312" w:cs="仿宋_GB2312"/>
          <w:color w:val="000000"/>
          <w:kern w:val="2"/>
          <w:sz w:val="32"/>
          <w:szCs w:val="32"/>
          <w:lang w:val="en" w:eastAsia="zh-CN" w:bidi="ar-SA"/>
        </w:rPr>
      </w:pPr>
      <w:r>
        <w:rPr>
          <w:rFonts w:hint="eastAsia" w:ascii="仿宋_GB2312" w:hAnsi="仿宋_GB2312" w:eastAsia="仿宋_GB2312" w:cs="仿宋_GB2312"/>
          <w:color w:val="000000"/>
          <w:kern w:val="2"/>
          <w:sz w:val="32"/>
          <w:szCs w:val="32"/>
          <w:lang w:val="en" w:eastAsia="zh-CN" w:bidi="ar-SA"/>
        </w:rPr>
        <w:t>本保险合同仅根据对应保险期间内最强一次风灾事件对应的赔偿金额进行赔付。保险期间内首次发生风灾事件后，可先行赔付；如保险期间内再遭遇更强的风灾事件，后续全部赔偿金额之和以最强一次风灾事件对应的赔偿金额扣减首次赔偿金额的差额为限。</w:t>
      </w:r>
    </w:p>
    <w:p>
      <w:pPr>
        <w:pageBreakBefore w:val="0"/>
        <w:kinsoku/>
        <w:wordWrap/>
        <w:overflowPunct/>
        <w:topLinePunct w:val="0"/>
        <w:bidi w:val="0"/>
        <w:adjustRightInd w:val="0"/>
        <w:snapToGrid w:val="0"/>
        <w:spacing w:line="590" w:lineRule="exact"/>
        <w:ind w:firstLine="640" w:firstLineChars="200"/>
        <w:rPr>
          <w:rFonts w:hint="eastAsia" w:ascii="仿宋_GB2312" w:hAnsi="仿宋_GB2312" w:eastAsia="仿宋_GB2312" w:cs="仿宋_GB2312"/>
          <w:color w:val="000000"/>
          <w:kern w:val="2"/>
          <w:sz w:val="32"/>
          <w:szCs w:val="32"/>
          <w:lang w:val="en" w:eastAsia="zh-CN" w:bidi="ar-SA"/>
        </w:rPr>
      </w:pPr>
      <w:r>
        <w:rPr>
          <w:rFonts w:hint="eastAsia" w:ascii="仿宋_GB2312" w:hAnsi="仿宋_GB2312" w:eastAsia="仿宋_GB2312" w:cs="仿宋_GB2312"/>
          <w:color w:val="000000"/>
          <w:kern w:val="2"/>
          <w:sz w:val="32"/>
          <w:szCs w:val="32"/>
          <w:lang w:val="en" w:eastAsia="zh-CN" w:bidi="ar-SA"/>
        </w:rPr>
        <w:t>投保地理区域内风灾事件对应的赔偿金额</w:t>
      </w:r>
    </w:p>
    <w:tbl>
      <w:tblPr>
        <w:tblStyle w:val="21"/>
        <w:tblW w:w="4999" w:type="pct"/>
        <w:jc w:val="center"/>
        <w:tblLayout w:type="autofit"/>
        <w:tblCellMar>
          <w:top w:w="0" w:type="dxa"/>
          <w:left w:w="108" w:type="dxa"/>
          <w:bottom w:w="0" w:type="dxa"/>
          <w:right w:w="108" w:type="dxa"/>
        </w:tblCellMar>
      </w:tblPr>
      <w:tblGrid>
        <w:gridCol w:w="4607"/>
        <w:gridCol w:w="3913"/>
      </w:tblGrid>
      <w:tr>
        <w:tblPrEx>
          <w:tblCellMar>
            <w:top w:w="0" w:type="dxa"/>
            <w:left w:w="108" w:type="dxa"/>
            <w:bottom w:w="0" w:type="dxa"/>
            <w:right w:w="108" w:type="dxa"/>
          </w:tblCellMar>
        </w:tblPrEx>
        <w:trPr>
          <w:trHeight w:val="43" w:hRule="atLeast"/>
          <w:jc w:val="center"/>
        </w:trPr>
        <w:tc>
          <w:tcPr>
            <w:tcW w:w="27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color w:val="000000"/>
                <w:sz w:val="24"/>
                <w:szCs w:val="24"/>
              </w:rPr>
            </w:pPr>
            <w:r>
              <w:rPr>
                <w:rFonts w:hint="eastAsia" w:ascii="黑体" w:hAnsi="黑体" w:eastAsia="黑体" w:cs="黑体"/>
                <w:color w:val="000000"/>
                <w:sz w:val="24"/>
                <w:szCs w:val="24"/>
              </w:rPr>
              <w:t>风灾事件对应的日极大风速</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color w:val="000000"/>
                <w:sz w:val="24"/>
                <w:szCs w:val="24"/>
              </w:rPr>
            </w:pPr>
            <w:r>
              <w:rPr>
                <w:rFonts w:hint="eastAsia" w:ascii="黑体" w:hAnsi="黑体" w:eastAsia="黑体" w:cs="黑体"/>
                <w:color w:val="000000"/>
                <w:sz w:val="24"/>
                <w:szCs w:val="24"/>
              </w:rPr>
              <w:t>（X，m/s）</w:t>
            </w:r>
          </w:p>
        </w:tc>
        <w:tc>
          <w:tcPr>
            <w:tcW w:w="2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color w:val="000000"/>
                <w:sz w:val="24"/>
                <w:szCs w:val="24"/>
              </w:rPr>
            </w:pPr>
            <w:r>
              <w:rPr>
                <w:rFonts w:hint="eastAsia" w:ascii="黑体" w:hAnsi="黑体" w:eastAsia="黑体" w:cs="黑体"/>
                <w:color w:val="000000"/>
                <w:sz w:val="24"/>
                <w:szCs w:val="24"/>
              </w:rPr>
              <w:t>单位赔偿金额</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color w:val="000000"/>
                <w:sz w:val="24"/>
                <w:szCs w:val="24"/>
              </w:rPr>
            </w:pPr>
            <w:r>
              <w:rPr>
                <w:rFonts w:hint="eastAsia" w:ascii="黑体" w:hAnsi="黑体" w:eastAsia="黑体" w:cs="黑体"/>
                <w:color w:val="000000"/>
                <w:sz w:val="24"/>
                <w:szCs w:val="24"/>
              </w:rPr>
              <w:t>（元/亩/份）</w:t>
            </w:r>
          </w:p>
        </w:tc>
      </w:tr>
      <w:tr>
        <w:tblPrEx>
          <w:tblCellMar>
            <w:top w:w="0" w:type="dxa"/>
            <w:left w:w="108" w:type="dxa"/>
            <w:bottom w:w="0" w:type="dxa"/>
            <w:right w:w="108" w:type="dxa"/>
          </w:tblCellMar>
        </w:tblPrEx>
        <w:trPr>
          <w:trHeight w:val="43" w:hRule="atLeast"/>
          <w:jc w:val="center"/>
        </w:trPr>
        <w:tc>
          <w:tcPr>
            <w:tcW w:w="2703"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560" w:lineRule="exact"/>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17.2≤X≤20.7</w:t>
            </w:r>
          </w:p>
        </w:tc>
        <w:tc>
          <w:tcPr>
            <w:tcW w:w="2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560" w:lineRule="exact"/>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10×（X-17.2）+25</w:t>
            </w:r>
          </w:p>
        </w:tc>
      </w:tr>
      <w:tr>
        <w:tblPrEx>
          <w:tblCellMar>
            <w:top w:w="0" w:type="dxa"/>
            <w:left w:w="108" w:type="dxa"/>
            <w:bottom w:w="0" w:type="dxa"/>
            <w:right w:w="108" w:type="dxa"/>
          </w:tblCellMar>
        </w:tblPrEx>
        <w:trPr>
          <w:trHeight w:val="43" w:hRule="atLeast"/>
          <w:jc w:val="center"/>
        </w:trPr>
        <w:tc>
          <w:tcPr>
            <w:tcW w:w="2703"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560" w:lineRule="exact"/>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20.8≤X≤24.4</w:t>
            </w:r>
          </w:p>
        </w:tc>
        <w:tc>
          <w:tcPr>
            <w:tcW w:w="2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560" w:lineRule="exact"/>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15×（X-20.7）+60</w:t>
            </w:r>
          </w:p>
        </w:tc>
      </w:tr>
      <w:tr>
        <w:tblPrEx>
          <w:tblCellMar>
            <w:top w:w="0" w:type="dxa"/>
            <w:left w:w="108" w:type="dxa"/>
            <w:bottom w:w="0" w:type="dxa"/>
            <w:right w:w="108" w:type="dxa"/>
          </w:tblCellMar>
        </w:tblPrEx>
        <w:trPr>
          <w:trHeight w:val="43" w:hRule="atLeast"/>
          <w:jc w:val="center"/>
        </w:trPr>
        <w:tc>
          <w:tcPr>
            <w:tcW w:w="2703" w:type="pct"/>
            <w:tcBorders>
              <w:top w:val="nil"/>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560" w:lineRule="exact"/>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24.5≤X≤28.4</w:t>
            </w:r>
          </w:p>
        </w:tc>
        <w:tc>
          <w:tcPr>
            <w:tcW w:w="2296"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560" w:lineRule="exact"/>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20×（X-24.4）+114</w:t>
            </w:r>
          </w:p>
        </w:tc>
      </w:tr>
      <w:tr>
        <w:tblPrEx>
          <w:tblCellMar>
            <w:top w:w="0" w:type="dxa"/>
            <w:left w:w="108" w:type="dxa"/>
            <w:bottom w:w="0" w:type="dxa"/>
            <w:right w:w="108" w:type="dxa"/>
          </w:tblCellMar>
        </w:tblPrEx>
        <w:trPr>
          <w:trHeight w:val="43" w:hRule="atLeast"/>
          <w:jc w:val="center"/>
        </w:trPr>
        <w:tc>
          <w:tcPr>
            <w:tcW w:w="2703"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560" w:lineRule="exact"/>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28.5≤X≤32.6</w:t>
            </w:r>
          </w:p>
        </w:tc>
        <w:tc>
          <w:tcPr>
            <w:tcW w:w="2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560" w:lineRule="exact"/>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25×（X-28.4）+192</w:t>
            </w:r>
          </w:p>
        </w:tc>
      </w:tr>
      <w:tr>
        <w:tblPrEx>
          <w:tblCellMar>
            <w:top w:w="0" w:type="dxa"/>
            <w:left w:w="108" w:type="dxa"/>
            <w:bottom w:w="0" w:type="dxa"/>
            <w:right w:w="108" w:type="dxa"/>
          </w:tblCellMar>
        </w:tblPrEx>
        <w:trPr>
          <w:trHeight w:val="503" w:hRule="atLeast"/>
          <w:jc w:val="center"/>
        </w:trPr>
        <w:tc>
          <w:tcPr>
            <w:tcW w:w="2703"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560" w:lineRule="exact"/>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32.7≤X≤36.1</w:t>
            </w:r>
          </w:p>
        </w:tc>
        <w:tc>
          <w:tcPr>
            <w:tcW w:w="2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560" w:lineRule="exact"/>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30×（X-32.6）+294.5</w:t>
            </w:r>
          </w:p>
        </w:tc>
      </w:tr>
      <w:tr>
        <w:tblPrEx>
          <w:tblCellMar>
            <w:top w:w="0" w:type="dxa"/>
            <w:left w:w="108" w:type="dxa"/>
            <w:bottom w:w="0" w:type="dxa"/>
            <w:right w:w="108" w:type="dxa"/>
          </w:tblCellMar>
        </w:tblPrEx>
        <w:trPr>
          <w:trHeight w:val="43" w:hRule="atLeast"/>
          <w:jc w:val="center"/>
        </w:trPr>
        <w:tc>
          <w:tcPr>
            <w:tcW w:w="2703"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560" w:lineRule="exact"/>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X≥36.2</w:t>
            </w:r>
          </w:p>
        </w:tc>
        <w:tc>
          <w:tcPr>
            <w:tcW w:w="2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560" w:lineRule="exact"/>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1000</w:t>
            </w:r>
          </w:p>
        </w:tc>
      </w:tr>
    </w:tbl>
    <w:p>
      <w:pPr>
        <w:pageBreakBefore w:val="0"/>
        <w:kinsoku/>
        <w:wordWrap/>
        <w:overflowPunct/>
        <w:topLinePunct w:val="0"/>
        <w:bidi w:val="0"/>
        <w:adjustRightInd w:val="0"/>
        <w:snapToGrid w:val="0"/>
        <w:spacing w:line="590" w:lineRule="exact"/>
        <w:ind w:firstLine="640" w:firstLineChars="200"/>
        <w:rPr>
          <w:rFonts w:hint="eastAsia" w:ascii="仿宋_GB2312" w:hAnsi="仿宋_GB2312" w:eastAsia="仿宋_GB2312" w:cs="仿宋_GB2312"/>
          <w:color w:val="000000"/>
          <w:kern w:val="2"/>
          <w:sz w:val="32"/>
          <w:szCs w:val="32"/>
          <w:lang w:val="en" w:eastAsia="zh-CN" w:bidi="ar-SA"/>
        </w:rPr>
      </w:pPr>
      <w:r>
        <w:rPr>
          <w:rFonts w:hint="eastAsia" w:ascii="仿宋_GB2312" w:hAnsi="仿宋_GB2312" w:eastAsia="仿宋_GB2312" w:cs="仿宋_GB2312"/>
          <w:color w:val="000000"/>
          <w:kern w:val="2"/>
          <w:sz w:val="32"/>
          <w:szCs w:val="32"/>
          <w:lang w:val="en" w:eastAsia="zh-CN" w:bidi="ar-SA"/>
        </w:rPr>
        <w:t>风灾事件赔偿金额=投保地理区域内最强一次风灾事件对应的单位赔偿金额（元/亩/份）×保险面积（亩）×投保份数（份）</w:t>
      </w:r>
    </w:p>
    <w:p>
      <w:pPr>
        <w:pageBreakBefore w:val="0"/>
        <w:kinsoku/>
        <w:wordWrap/>
        <w:overflowPunct/>
        <w:topLinePunct w:val="0"/>
        <w:bidi w:val="0"/>
        <w:adjustRightInd w:val="0"/>
        <w:snapToGrid w:val="0"/>
        <w:spacing w:line="590" w:lineRule="exact"/>
        <w:ind w:firstLine="640" w:firstLineChars="200"/>
        <w:rPr>
          <w:rFonts w:hint="eastAsia" w:ascii="仿宋_GB2312" w:hAnsi="仿宋_GB2312" w:eastAsia="仿宋_GB2312" w:cs="仿宋_GB2312"/>
          <w:color w:val="000000"/>
          <w:kern w:val="2"/>
          <w:sz w:val="32"/>
          <w:szCs w:val="32"/>
          <w:lang w:val="en" w:eastAsia="zh-CN" w:bidi="ar-SA"/>
        </w:rPr>
      </w:pPr>
      <w:r>
        <w:rPr>
          <w:rFonts w:hint="eastAsia" w:ascii="仿宋_GB2312" w:hAnsi="仿宋_GB2312" w:eastAsia="仿宋_GB2312" w:cs="仿宋_GB2312"/>
          <w:color w:val="000000"/>
          <w:kern w:val="2"/>
          <w:sz w:val="32"/>
          <w:szCs w:val="32"/>
          <w:lang w:val="en" w:eastAsia="zh-CN" w:bidi="ar-SA"/>
        </w:rPr>
        <w:t>（</w:t>
      </w:r>
      <w:r>
        <w:rPr>
          <w:rFonts w:hint="eastAsia" w:ascii="仿宋_GB2312" w:hAnsi="仿宋_GB2312" w:eastAsia="仿宋_GB2312" w:cs="仿宋_GB2312"/>
          <w:color w:val="000000"/>
          <w:kern w:val="2"/>
          <w:sz w:val="32"/>
          <w:szCs w:val="32"/>
          <w:lang w:val="en-US" w:eastAsia="zh-CN" w:bidi="ar-SA"/>
        </w:rPr>
        <w:t>2</w:t>
      </w:r>
      <w:r>
        <w:rPr>
          <w:rFonts w:hint="eastAsia" w:ascii="仿宋_GB2312" w:hAnsi="仿宋_GB2312" w:eastAsia="仿宋_GB2312" w:cs="仿宋_GB2312"/>
          <w:color w:val="000000"/>
          <w:kern w:val="2"/>
          <w:sz w:val="32"/>
          <w:szCs w:val="32"/>
          <w:lang w:val="en" w:eastAsia="zh-CN" w:bidi="ar-SA"/>
        </w:rPr>
        <w:t>）强降雨事件</w:t>
      </w:r>
    </w:p>
    <w:p>
      <w:pPr>
        <w:pageBreakBefore w:val="0"/>
        <w:kinsoku/>
        <w:wordWrap/>
        <w:overflowPunct/>
        <w:topLinePunct w:val="0"/>
        <w:bidi w:val="0"/>
        <w:adjustRightInd w:val="0"/>
        <w:snapToGrid w:val="0"/>
        <w:spacing w:line="590" w:lineRule="exact"/>
        <w:ind w:firstLine="640" w:firstLineChars="200"/>
        <w:rPr>
          <w:rFonts w:hint="eastAsia" w:ascii="仿宋_GB2312" w:hAnsi="仿宋_GB2312" w:eastAsia="仿宋_GB2312" w:cs="仿宋_GB2312"/>
          <w:color w:val="000000"/>
          <w:kern w:val="2"/>
          <w:sz w:val="32"/>
          <w:szCs w:val="32"/>
          <w:lang w:val="en" w:eastAsia="zh-CN" w:bidi="ar-SA"/>
        </w:rPr>
      </w:pPr>
      <w:r>
        <w:rPr>
          <w:rFonts w:hint="eastAsia" w:ascii="仿宋_GB2312" w:hAnsi="仿宋_GB2312" w:eastAsia="仿宋_GB2312" w:cs="仿宋_GB2312"/>
          <w:color w:val="000000"/>
          <w:kern w:val="2"/>
          <w:sz w:val="32"/>
          <w:szCs w:val="32"/>
          <w:lang w:val="en" w:eastAsia="zh-CN" w:bidi="ar-SA"/>
        </w:rPr>
        <w:t>本保险合同仅根据对应保险期间内约定气象站观测到的最强一次强降雨事件对应的赔偿金额进行赔付。保险期间内首次发生强降雨事件后，可先行赔付；如保险期间内再遭遇更强的强降雨事件，后续全部赔偿金额之和以最强一次强降雨事件对应的赔偿金额扣减首次赔偿金额的差额为限。</w:t>
      </w:r>
    </w:p>
    <w:p>
      <w:pPr>
        <w:pageBreakBefore w:val="0"/>
        <w:kinsoku/>
        <w:wordWrap/>
        <w:overflowPunct/>
        <w:topLinePunct w:val="0"/>
        <w:bidi w:val="0"/>
        <w:adjustRightInd w:val="0"/>
        <w:snapToGrid w:val="0"/>
        <w:spacing w:line="590" w:lineRule="exact"/>
        <w:ind w:firstLine="640" w:firstLineChars="200"/>
        <w:rPr>
          <w:rFonts w:hint="eastAsia" w:ascii="仿宋_GB2312" w:hAnsi="仿宋_GB2312" w:eastAsia="仿宋_GB2312" w:cs="仿宋_GB2312"/>
          <w:color w:val="000000"/>
          <w:kern w:val="2"/>
          <w:sz w:val="32"/>
          <w:szCs w:val="32"/>
          <w:lang w:val="en" w:eastAsia="zh-CN" w:bidi="ar-SA"/>
        </w:rPr>
      </w:pPr>
      <w:r>
        <w:rPr>
          <w:rFonts w:hint="eastAsia" w:ascii="仿宋_GB2312" w:hAnsi="仿宋_GB2312" w:eastAsia="仿宋_GB2312" w:cs="仿宋_GB2312"/>
          <w:color w:val="000000"/>
          <w:kern w:val="2"/>
          <w:sz w:val="32"/>
          <w:szCs w:val="32"/>
          <w:lang w:val="en" w:eastAsia="zh-CN" w:bidi="ar-SA"/>
        </w:rPr>
        <w:t>投保地理区域内强降雨事件对应的赔偿金额</w:t>
      </w:r>
    </w:p>
    <w:tbl>
      <w:tblPr>
        <w:tblStyle w:val="21"/>
        <w:tblW w:w="48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5"/>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30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Cs/>
                <w:color w:val="000000"/>
                <w:sz w:val="24"/>
                <w:szCs w:val="24"/>
              </w:rPr>
            </w:pPr>
            <w:r>
              <w:rPr>
                <w:rFonts w:hint="eastAsia" w:ascii="黑体" w:hAnsi="黑体" w:eastAsia="黑体" w:cs="黑体"/>
                <w:bCs/>
                <w:color w:val="000000"/>
                <w:sz w:val="24"/>
                <w:szCs w:val="24"/>
              </w:rPr>
              <w:t>日降雨量（Y，mm）</w:t>
            </w:r>
          </w:p>
        </w:tc>
        <w:tc>
          <w:tcPr>
            <w:tcW w:w="194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Cs/>
                <w:color w:val="000000"/>
                <w:sz w:val="24"/>
                <w:szCs w:val="24"/>
              </w:rPr>
            </w:pPr>
            <w:r>
              <w:rPr>
                <w:rFonts w:hint="eastAsia" w:ascii="黑体" w:hAnsi="黑体" w:eastAsia="黑体" w:cs="黑体"/>
                <w:bCs/>
                <w:color w:val="000000"/>
                <w:sz w:val="24"/>
                <w:szCs w:val="24"/>
              </w:rPr>
              <w:t>单位赔偿金额</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Cs/>
                <w:color w:val="000000"/>
                <w:sz w:val="24"/>
                <w:szCs w:val="24"/>
              </w:rPr>
            </w:pPr>
            <w:r>
              <w:rPr>
                <w:rFonts w:hint="eastAsia" w:ascii="黑体" w:hAnsi="黑体" w:eastAsia="黑体" w:cs="黑体"/>
                <w:bCs/>
                <w:color w:val="000000"/>
                <w:sz w:val="24"/>
                <w:szCs w:val="24"/>
              </w:rPr>
              <w:t>（元/亩/份）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305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50≤Y＜80</w:t>
            </w:r>
          </w:p>
        </w:tc>
        <w:tc>
          <w:tcPr>
            <w:tcW w:w="19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0.4×（Y-50）+15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305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80≤Y＜150</w:t>
            </w:r>
          </w:p>
        </w:tc>
        <w:tc>
          <w:tcPr>
            <w:tcW w:w="19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0.7×（Y-80）+27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305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150≤Y＜270</w:t>
            </w:r>
          </w:p>
        </w:tc>
        <w:tc>
          <w:tcPr>
            <w:tcW w:w="19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1.2×（Y-150）+76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305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270≤Y＜440</w:t>
            </w:r>
          </w:p>
        </w:tc>
        <w:tc>
          <w:tcPr>
            <w:tcW w:w="19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2×（Y-270）+220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305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440≤Y＜616</w:t>
            </w:r>
          </w:p>
        </w:tc>
        <w:tc>
          <w:tcPr>
            <w:tcW w:w="19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2.5×（Y-440）+560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305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Y≥616</w:t>
            </w:r>
          </w:p>
        </w:tc>
        <w:tc>
          <w:tcPr>
            <w:tcW w:w="19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1000</w:t>
            </w:r>
          </w:p>
        </w:tc>
      </w:tr>
    </w:tbl>
    <w:p>
      <w:pPr>
        <w:pageBreakBefore w:val="0"/>
        <w:kinsoku/>
        <w:wordWrap/>
        <w:overflowPunct/>
        <w:topLinePunct w:val="0"/>
        <w:bidi w:val="0"/>
        <w:adjustRightInd w:val="0"/>
        <w:snapToGrid w:val="0"/>
        <w:spacing w:line="590" w:lineRule="exact"/>
        <w:ind w:firstLine="640" w:firstLineChars="200"/>
        <w:rPr>
          <w:rFonts w:hint="eastAsia" w:ascii="仿宋_GB2312" w:hAnsi="仿宋_GB2312" w:eastAsia="仿宋_GB2312" w:cs="仿宋_GB2312"/>
          <w:color w:val="000000"/>
          <w:kern w:val="2"/>
          <w:sz w:val="32"/>
          <w:szCs w:val="32"/>
          <w:lang w:val="en" w:eastAsia="zh-CN" w:bidi="ar-SA"/>
        </w:rPr>
      </w:pPr>
      <w:r>
        <w:rPr>
          <w:rFonts w:hint="eastAsia" w:ascii="仿宋_GB2312" w:hAnsi="仿宋_GB2312" w:eastAsia="仿宋_GB2312" w:cs="仿宋_GB2312"/>
          <w:color w:val="000000"/>
          <w:kern w:val="2"/>
          <w:sz w:val="32"/>
          <w:szCs w:val="32"/>
          <w:lang w:val="en" w:eastAsia="zh-CN" w:bidi="ar-SA"/>
        </w:rPr>
        <w:t>强降雨事件赔偿金额=投保地理区域内最强一次强降雨事件对应的单位赔偿金额（元/亩/份）×保险面积（亩）×投保份数（份）</w:t>
      </w:r>
    </w:p>
    <w:p>
      <w:pPr>
        <w:pageBreakBefore w:val="0"/>
        <w:kinsoku/>
        <w:wordWrap/>
        <w:overflowPunct/>
        <w:topLinePunct w:val="0"/>
        <w:bidi w:val="0"/>
        <w:adjustRightInd w:val="0"/>
        <w:snapToGrid w:val="0"/>
        <w:spacing w:line="590" w:lineRule="exact"/>
        <w:ind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 w:eastAsia="zh-CN" w:bidi="ar-SA"/>
        </w:rPr>
        <w:t>任何情况下，赔款总金额不得超过保险金额。</w:t>
      </w:r>
    </w:p>
    <w:p>
      <w:pPr>
        <w:pageBreakBefore w:val="0"/>
        <w:kinsoku/>
        <w:wordWrap/>
        <w:overflowPunct/>
        <w:topLinePunct w:val="0"/>
        <w:bidi w:val="0"/>
        <w:adjustRightInd w:val="0"/>
        <w:snapToGrid w:val="0"/>
        <w:spacing w:line="590" w:lineRule="exact"/>
        <w:ind w:firstLine="640" w:firstLineChars="200"/>
        <w:rPr>
          <w:rFonts w:hint="eastAsia" w:ascii="CESI楷体-GB2312" w:hAnsi="CESI楷体-GB2312" w:eastAsia="CESI楷体-GB2312" w:cs="CESI楷体-GB2312"/>
          <w:color w:val="000000"/>
          <w:kern w:val="2"/>
          <w:sz w:val="32"/>
          <w:szCs w:val="32"/>
          <w:lang w:val="en-US" w:eastAsia="zh-CN" w:bidi="ar-SA"/>
        </w:rPr>
      </w:pPr>
    </w:p>
    <w:p>
      <w:pPr>
        <w:pageBreakBefore w:val="0"/>
        <w:kinsoku/>
        <w:wordWrap/>
        <w:overflowPunct/>
        <w:topLinePunct w:val="0"/>
        <w:bidi w:val="0"/>
        <w:adjustRightInd w:val="0"/>
        <w:snapToGrid w:val="0"/>
        <w:spacing w:line="590" w:lineRule="exact"/>
        <w:ind w:firstLine="640" w:firstLineChars="200"/>
        <w:rPr>
          <w:rFonts w:hint="eastAsia" w:ascii="CESI楷体-GB2312" w:hAnsi="CESI楷体-GB2312" w:eastAsia="CESI楷体-GB2312" w:cs="CESI楷体-GB2312"/>
          <w:color w:val="000000"/>
          <w:kern w:val="2"/>
          <w:sz w:val="32"/>
          <w:szCs w:val="32"/>
          <w:lang w:val="en"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CESI楷体-GB2312" w:hAnsi="CESI楷体-GB2312" w:eastAsia="CESI楷体-GB2312" w:cs="CESI楷体-GB2312"/>
          <w:color w:val="000000"/>
          <w:kern w:val="2"/>
          <w:sz w:val="32"/>
          <w:szCs w:val="32"/>
          <w:lang w:val="en-US" w:eastAsia="zh-CN" w:bidi="ar-SA"/>
        </w:rPr>
        <w:t>主办单位：中国人寿财产保险股份有限公司东营市垦利支公司   联系电话：袁训伟15963897555</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color w:val="0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1"/>
        <w:rPr>
          <w:rFonts w:hint="eastAsia" w:ascii="宋体" w:hAnsi="宋体" w:eastAsia="宋体" w:cs="宋体"/>
          <w:b/>
          <w:bCs/>
          <w:color w:val="000000"/>
          <w:sz w:val="32"/>
          <w:szCs w:val="32"/>
          <w:lang w:val="en" w:eastAsia="zh-CN"/>
        </w:rPr>
      </w:pPr>
      <w:bookmarkStart w:id="34" w:name="_Toc13463"/>
      <w:r>
        <w:rPr>
          <w:rFonts w:hint="eastAsia" w:ascii="方正小标宋简体" w:hAnsi="方正小标宋简体" w:eastAsia="方正小标宋简体" w:cs="方正小标宋简体"/>
          <w:b w:val="0"/>
          <w:bCs w:val="0"/>
          <w:color w:val="000000"/>
          <w:sz w:val="36"/>
          <w:szCs w:val="36"/>
          <w:lang w:val="en-US" w:eastAsia="zh-CN"/>
        </w:rPr>
        <w:t>海参养殖气象指数保险</w:t>
      </w:r>
      <w:bookmarkEnd w:id="34"/>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000000"/>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CESI仿宋-GB2312" w:hAnsi="CESI仿宋-GB2312" w:eastAsia="CESI仿宋-GB2312" w:cs="CESI仿宋-GB2312"/>
          <w:color w:val="000000"/>
          <w:sz w:val="32"/>
          <w:szCs w:val="32"/>
          <w:lang w:val="en-US" w:eastAsia="zh-CN"/>
        </w:rPr>
      </w:pPr>
      <w:r>
        <w:rPr>
          <w:rFonts w:hint="eastAsia" w:ascii="Times New Roman" w:hAnsi="Times New Roman" w:eastAsia="黑体" w:cs="Times New Roman"/>
          <w:color w:val="000000"/>
          <w:kern w:val="2"/>
          <w:sz w:val="32"/>
          <w:szCs w:val="32"/>
          <w:lang w:val="en-US" w:eastAsia="zh-CN" w:bidi="ar-SA"/>
        </w:rPr>
        <w:t>一、服务对象和范围</w:t>
      </w:r>
    </w:p>
    <w:p>
      <w:pPr>
        <w:pageBreakBefore w:val="0"/>
        <w:kinsoku/>
        <w:wordWrap/>
        <w:overflowPunct/>
        <w:topLinePunct w:val="0"/>
        <w:bidi w:val="0"/>
        <w:spacing w:line="59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河口</w:t>
      </w:r>
      <w:r>
        <w:rPr>
          <w:rFonts w:hint="eastAsia" w:ascii="仿宋_GB2312" w:hAnsi="仿宋_GB2312" w:eastAsia="仿宋_GB2312" w:cs="仿宋_GB2312"/>
          <w:color w:val="000000"/>
          <w:sz w:val="32"/>
          <w:szCs w:val="32"/>
        </w:rPr>
        <w:t>区</w:t>
      </w:r>
      <w:r>
        <w:rPr>
          <w:rFonts w:hint="eastAsia" w:ascii="仿宋_GB2312" w:hAnsi="仿宋_GB2312" w:eastAsia="仿宋_GB2312" w:cs="仿宋_GB2312"/>
          <w:color w:val="000000"/>
          <w:sz w:val="32"/>
          <w:szCs w:val="32"/>
          <w:lang w:eastAsia="zh-CN"/>
        </w:rPr>
        <w:t>海参</w:t>
      </w:r>
      <w:r>
        <w:rPr>
          <w:rFonts w:hint="eastAsia" w:ascii="仿宋_GB2312" w:hAnsi="仿宋_GB2312" w:eastAsia="仿宋_GB2312" w:cs="仿宋_GB2312"/>
          <w:color w:val="000000"/>
          <w:sz w:val="32"/>
          <w:szCs w:val="32"/>
        </w:rPr>
        <w:t>养殖户(含</w:t>
      </w:r>
      <w:r>
        <w:rPr>
          <w:rFonts w:hint="eastAsia" w:ascii="仿宋_GB2312" w:hAnsi="仿宋_GB2312" w:eastAsia="仿宋_GB2312" w:cs="仿宋_GB2312"/>
          <w:color w:val="000000"/>
          <w:sz w:val="32"/>
          <w:szCs w:val="32"/>
          <w:lang w:eastAsia="zh-CN"/>
        </w:rPr>
        <w:t>海参</w:t>
      </w:r>
      <w:r>
        <w:rPr>
          <w:rFonts w:hint="eastAsia" w:ascii="仿宋_GB2312" w:hAnsi="仿宋_GB2312" w:eastAsia="仿宋_GB2312" w:cs="仿宋_GB2312"/>
          <w:color w:val="000000"/>
          <w:sz w:val="32"/>
          <w:szCs w:val="32"/>
        </w:rPr>
        <w:t>养殖个体户、龙头企业、专业合作社和家庭农场等新型农业经营主体)。</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000000"/>
          <w:kern w:val="2"/>
          <w:sz w:val="32"/>
          <w:szCs w:val="32"/>
          <w:lang w:val="en-US" w:eastAsia="zh-CN" w:bidi="ar-SA"/>
        </w:rPr>
      </w:pPr>
      <w:r>
        <w:rPr>
          <w:rFonts w:hint="eastAsia" w:ascii="Times New Roman" w:hAnsi="Times New Roman" w:eastAsia="黑体" w:cs="Times New Roman"/>
          <w:color w:val="000000"/>
          <w:sz w:val="32"/>
          <w:szCs w:val="32"/>
          <w:lang w:val="en-US" w:eastAsia="zh-CN"/>
        </w:rPr>
        <w:t>二</w:t>
      </w:r>
      <w:r>
        <w:rPr>
          <w:rFonts w:hint="eastAsia" w:ascii="Times New Roman" w:hAnsi="Times New Roman" w:eastAsia="黑体" w:cs="Times New Roman"/>
          <w:color w:val="000000"/>
          <w:sz w:val="32"/>
          <w:szCs w:val="32"/>
          <w:lang w:eastAsia="zh-CN"/>
        </w:rPr>
        <w:t>、</w:t>
      </w:r>
      <w:r>
        <w:rPr>
          <w:rFonts w:hint="eastAsia" w:ascii="Times New Roman" w:hAnsi="Times New Roman" w:eastAsia="黑体" w:cs="Times New Roman"/>
          <w:color w:val="000000"/>
          <w:sz w:val="32"/>
          <w:szCs w:val="32"/>
        </w:rPr>
        <w:t>政策名称</w:t>
      </w:r>
      <w:r>
        <w:rPr>
          <w:rFonts w:hint="eastAsia" w:ascii="Times New Roman" w:hAnsi="Times New Roman" w:eastAsia="黑体" w:cs="Times New Roman"/>
          <w:color w:val="000000"/>
          <w:sz w:val="32"/>
          <w:szCs w:val="32"/>
          <w:lang w:eastAsia="zh-CN"/>
        </w:rPr>
        <w:t>或政策依据</w:t>
      </w:r>
    </w:p>
    <w:p>
      <w:pPr>
        <w:pageBreakBefore w:val="0"/>
        <w:kinsoku/>
        <w:wordWrap/>
        <w:overflowPunct/>
        <w:topLinePunct w:val="0"/>
        <w:bidi w:val="0"/>
        <w:spacing w:line="590" w:lineRule="exact"/>
        <w:ind w:firstLine="640" w:firstLineChars="200"/>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《东营市财政局东营市农业农村局等4部门关于开展2022年地方优势特色农产品保险工作的通知》（东财金〔2022〕8号），文件有效期，2022年5月30日至2022年12月31日。</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color w:val="000000"/>
          <w:lang w:val="en-US" w:eastAsia="zh-CN"/>
        </w:rPr>
      </w:pPr>
      <w:r>
        <w:rPr>
          <w:rFonts w:hint="eastAsia" w:ascii="Times New Roman" w:hAnsi="Times New Roman" w:eastAsia="黑体" w:cs="Times New Roman"/>
          <w:color w:val="000000"/>
          <w:kern w:val="2"/>
          <w:sz w:val="32"/>
          <w:szCs w:val="32"/>
          <w:lang w:val="en-US" w:eastAsia="zh-CN" w:bidi="ar-SA"/>
        </w:rPr>
        <w:t>三、政策措施内容及标准</w:t>
      </w:r>
    </w:p>
    <w:p>
      <w:pPr>
        <w:pStyle w:val="2"/>
        <w:pageBreakBefore w:val="0"/>
        <w:kinsoku/>
        <w:wordWrap/>
        <w:overflowPunct/>
        <w:topLinePunct w:val="0"/>
        <w:bidi w:val="0"/>
        <w:spacing w:line="590" w:lineRule="exact"/>
        <w:ind w:firstLine="64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在河口区实施海参养殖气象指数保险，保费80元</w:t>
      </w:r>
      <w:r>
        <w:rPr>
          <w:rFonts w:hint="default" w:ascii="仿宋_GB2312" w:hAnsi="仿宋_GB2312" w:eastAsia="仿宋_GB2312" w:cs="仿宋_GB2312"/>
          <w:color w:val="000000"/>
          <w:kern w:val="2"/>
          <w:sz w:val="32"/>
          <w:szCs w:val="32"/>
          <w:lang w:val="en" w:eastAsia="zh-CN" w:bidi="ar-SA"/>
        </w:rPr>
        <w:t>/</w:t>
      </w:r>
      <w:r>
        <w:rPr>
          <w:rFonts w:hint="eastAsia" w:ascii="仿宋_GB2312" w:hAnsi="仿宋_GB2312" w:eastAsia="仿宋_GB2312" w:cs="仿宋_GB2312"/>
          <w:color w:val="000000"/>
          <w:kern w:val="2"/>
          <w:sz w:val="32"/>
          <w:szCs w:val="32"/>
          <w:lang w:val="en" w:eastAsia="zh-CN" w:bidi="ar-SA"/>
        </w:rPr>
        <w:t>亩，</w:t>
      </w:r>
      <w:r>
        <w:rPr>
          <w:rFonts w:hint="eastAsia" w:ascii="仿宋_GB2312" w:hAnsi="仿宋_GB2312" w:eastAsia="仿宋_GB2312" w:cs="仿宋_GB2312"/>
          <w:color w:val="000000"/>
          <w:kern w:val="2"/>
          <w:sz w:val="32"/>
          <w:szCs w:val="32"/>
          <w:lang w:val="en-US" w:eastAsia="zh-CN" w:bidi="ar-SA"/>
        </w:rPr>
        <w:t>预计投保面积1万亩。。</w:t>
      </w:r>
    </w:p>
    <w:p>
      <w:pPr>
        <w:pageBreakBefore w:val="0"/>
        <w:kinsoku/>
        <w:wordWrap/>
        <w:overflowPunct/>
        <w:topLinePunct w:val="0"/>
        <w:bidi w:val="0"/>
        <w:adjustRightInd w:val="0"/>
        <w:snapToGrid w:val="0"/>
        <w:spacing w:line="590" w:lineRule="exact"/>
        <w:ind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海参保险责任对应的每份每亩保险金额均为1000元，详见下表。</w:t>
      </w:r>
    </w:p>
    <w:tbl>
      <w:tblPr>
        <w:tblStyle w:val="21"/>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黑体" w:hAnsi="黑体" w:eastAsia="黑体" w:cs="黑体"/>
                <w:color w:val="000000"/>
                <w:sz w:val="24"/>
                <w:szCs w:val="24"/>
              </w:rPr>
            </w:pPr>
            <w:r>
              <w:rPr>
                <w:rFonts w:hint="eastAsia" w:ascii="黑体" w:hAnsi="黑体" w:eastAsia="黑体" w:cs="黑体"/>
                <w:color w:val="000000"/>
                <w:sz w:val="24"/>
                <w:szCs w:val="24"/>
              </w:rPr>
              <w:t>保险责任</w:t>
            </w:r>
          </w:p>
        </w:tc>
        <w:tc>
          <w:tcPr>
            <w:tcW w:w="426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黑体" w:hAnsi="黑体" w:eastAsia="黑体" w:cs="黑体"/>
                <w:color w:val="000000"/>
                <w:sz w:val="24"/>
                <w:szCs w:val="24"/>
              </w:rPr>
            </w:pPr>
            <w:r>
              <w:rPr>
                <w:rFonts w:hint="eastAsia" w:ascii="黑体" w:hAnsi="黑体" w:eastAsia="黑体" w:cs="黑体"/>
                <w:color w:val="000000"/>
                <w:sz w:val="24"/>
                <w:szCs w:val="24"/>
              </w:rPr>
              <w:t>单位保险金额（元/亩/份）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黑体" w:hAnsi="黑体" w:eastAsia="黑体" w:cs="黑体"/>
                <w:color w:val="000000"/>
                <w:sz w:val="24"/>
                <w:szCs w:val="24"/>
              </w:rPr>
            </w:pPr>
            <w:r>
              <w:rPr>
                <w:rFonts w:hint="eastAsia" w:ascii="黑体" w:hAnsi="黑体" w:eastAsia="黑体" w:cs="黑体"/>
                <w:color w:val="000000"/>
                <w:sz w:val="24"/>
                <w:szCs w:val="24"/>
                <w:lang w:eastAsia="zh-CN"/>
              </w:rPr>
              <w:t>高温</w:t>
            </w:r>
            <w:r>
              <w:rPr>
                <w:rFonts w:hint="eastAsia" w:ascii="黑体" w:hAnsi="黑体" w:eastAsia="黑体" w:cs="黑体"/>
                <w:color w:val="000000"/>
                <w:sz w:val="24"/>
                <w:szCs w:val="24"/>
              </w:rPr>
              <w:t>事件</w:t>
            </w:r>
          </w:p>
        </w:tc>
        <w:tc>
          <w:tcPr>
            <w:tcW w:w="426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黑体" w:hAnsi="黑体" w:eastAsia="黑体" w:cs="黑体"/>
                <w:color w:val="000000"/>
                <w:sz w:val="24"/>
                <w:szCs w:val="24"/>
              </w:rPr>
            </w:pPr>
            <w:r>
              <w:rPr>
                <w:rFonts w:hint="eastAsia" w:ascii="黑体" w:hAnsi="黑体" w:eastAsia="黑体" w:cs="黑体"/>
                <w:color w:val="000000"/>
                <w:sz w:val="24"/>
                <w:szCs w:val="24"/>
              </w:rPr>
              <w:t>合计</w:t>
            </w:r>
          </w:p>
        </w:tc>
        <w:tc>
          <w:tcPr>
            <w:tcW w:w="426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000</w:t>
            </w:r>
          </w:p>
        </w:tc>
      </w:tr>
    </w:tbl>
    <w:p>
      <w:pPr>
        <w:pageBreakBefore w:val="0"/>
        <w:kinsoku/>
        <w:wordWrap/>
        <w:overflowPunct/>
        <w:topLinePunct w:val="0"/>
        <w:bidi w:val="0"/>
        <w:spacing w:line="590" w:lineRule="exact"/>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（一）在保险单约定的投保地理区域内，保险海参发生保险责任范围内的损失，保险人按以下方式计算赔偿：</w:t>
      </w:r>
    </w:p>
    <w:p>
      <w:pPr>
        <w:pageBreakBefore w:val="0"/>
        <w:kinsoku/>
        <w:wordWrap/>
        <w:overflowPunct/>
        <w:topLinePunct w:val="0"/>
        <w:bidi w:val="0"/>
        <w:spacing w:line="590" w:lineRule="exact"/>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如果保险期间没有发生持续高温事故，赔款为0；持续高温事故发生后，每次持续高温事故根据高温事故持续天数作为计算赔款的依据。赔偿标准如下表一。</w:t>
      </w:r>
    </w:p>
    <w:p>
      <w:pPr>
        <w:pageBreakBefore w:val="0"/>
        <w:kinsoku/>
        <w:wordWrap/>
        <w:overflowPunct/>
        <w:topLinePunct w:val="0"/>
        <w:bidi w:val="0"/>
        <w:spacing w:line="590" w:lineRule="exact"/>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表一  持续高温事故赔偿比例</w:t>
      </w:r>
    </w:p>
    <w:p>
      <w:pPr>
        <w:pStyle w:val="2"/>
        <w:rPr>
          <w:rFonts w:hint="eastAsia"/>
          <w:lang w:val="en-US" w:eastAsia="zh-CN"/>
        </w:rPr>
      </w:pP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5"/>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rPr>
              <w:t>持续高温事故天数</w:t>
            </w:r>
          </w:p>
        </w:tc>
        <w:tc>
          <w:tcPr>
            <w:tcW w:w="14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rPr>
              <w:t>赔偿比例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2天（含）</w:t>
            </w:r>
          </w:p>
        </w:tc>
        <w:tc>
          <w:tcPr>
            <w:tcW w:w="14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5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3天（含）或4天（含）</w:t>
            </w:r>
          </w:p>
        </w:tc>
        <w:tc>
          <w:tcPr>
            <w:tcW w:w="14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5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5天（含）或6天（含）</w:t>
            </w:r>
          </w:p>
        </w:tc>
        <w:tc>
          <w:tcPr>
            <w:tcW w:w="14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5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7天（含）以上</w:t>
            </w:r>
          </w:p>
        </w:tc>
        <w:tc>
          <w:tcPr>
            <w:tcW w:w="14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100%</w:t>
            </w:r>
          </w:p>
        </w:tc>
      </w:tr>
    </w:tbl>
    <w:p>
      <w:pPr>
        <w:pStyle w:val="8"/>
        <w:pageBreakBefore w:val="0"/>
        <w:kinsoku/>
        <w:wordWrap/>
        <w:overflowPunct/>
        <w:topLinePunct w:val="0"/>
        <w:bidi w:val="0"/>
        <w:spacing w:line="590" w:lineRule="exact"/>
        <w:ind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持续高温事故赔款金额 = 每亩保险金额 × 赔偿比例 × 保险面积</w:t>
      </w:r>
    </w:p>
    <w:p>
      <w:pPr>
        <w:pStyle w:val="8"/>
        <w:pageBreakBefore w:val="0"/>
        <w:kinsoku/>
        <w:wordWrap/>
        <w:overflowPunct/>
        <w:topLinePunct w:val="0"/>
        <w:bidi w:val="0"/>
        <w:spacing w:line="590" w:lineRule="exact"/>
        <w:ind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保险期间如发生多次持续高温事故，则赔款金额为最严重一次持续高温事故对应的赔款金额，而不累计赔偿。</w:t>
      </w:r>
    </w:p>
    <w:p>
      <w:pPr>
        <w:pStyle w:val="8"/>
        <w:pageBreakBefore w:val="0"/>
        <w:kinsoku/>
        <w:wordWrap/>
        <w:overflowPunct/>
        <w:topLinePunct w:val="0"/>
        <w:bidi w:val="0"/>
        <w:spacing w:line="590" w:lineRule="exact"/>
        <w:ind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任何情况下，赔偿金额以保险金额为限。</w:t>
      </w:r>
    </w:p>
    <w:p>
      <w:pPr>
        <w:pageBreakBefore w:val="0"/>
        <w:kinsoku/>
        <w:wordWrap/>
        <w:overflowPunct/>
        <w:topLinePunct w:val="0"/>
        <w:bidi w:val="0"/>
        <w:spacing w:line="590" w:lineRule="exact"/>
        <w:ind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（二）本保险合同所用的日平均气温数据来自投保人、保险人共同约定并认可的县级以上气象观测站（以下简称“参照观测站”）。如果参照观测站某数据缺失，则按照以下办法确定：</w:t>
      </w:r>
    </w:p>
    <w:p>
      <w:pPr>
        <w:pageBreakBefore w:val="0"/>
        <w:kinsoku/>
        <w:wordWrap/>
        <w:overflowPunct/>
        <w:topLinePunct w:val="0"/>
        <w:bidi w:val="0"/>
        <w:spacing w:line="590" w:lineRule="exact"/>
        <w:ind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1.如果仅一天数据缺失，且能够获得该参照观测站前一日和后一日的数据，则为参照观测站前一日和后一日的算术平均值；</w:t>
      </w:r>
    </w:p>
    <w:p>
      <w:pPr>
        <w:pageBreakBefore w:val="0"/>
        <w:kinsoku/>
        <w:wordWrap/>
        <w:overflowPunct/>
        <w:topLinePunct w:val="0"/>
        <w:bidi w:val="0"/>
        <w:spacing w:line="590" w:lineRule="exact"/>
        <w:ind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2.如果连续两日数据缺失，则该两天数据根据参照观测站相邻前一日和后一日按线性比例方法计算得出；</w:t>
      </w:r>
    </w:p>
    <w:p>
      <w:pPr>
        <w:pageBreakBefore w:val="0"/>
        <w:kinsoku/>
        <w:wordWrap/>
        <w:overflowPunct/>
        <w:topLinePunct w:val="0"/>
        <w:bidi w:val="0"/>
        <w:spacing w:line="590" w:lineRule="exact"/>
        <w:ind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3.如果出现连续3日或3日以上数据缺失，则获取备用观测站同日数据，乘以过去10年同月同日参照观测站与备用观测站数据的比例；</w:t>
      </w:r>
    </w:p>
    <w:p>
      <w:pPr>
        <w:pageBreakBefore w:val="0"/>
        <w:kinsoku/>
        <w:wordWrap/>
        <w:overflowPunct/>
        <w:topLinePunct w:val="0"/>
        <w:bidi w:val="0"/>
        <w:spacing w:line="590" w:lineRule="exact"/>
        <w:ind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4.如果采用方法（三）时备用观测站数据也缺失，则用勘察定损的方法确定损失和赔款金额。</w:t>
      </w:r>
    </w:p>
    <w:p>
      <w:pPr>
        <w:pStyle w:val="50"/>
        <w:pageBreakBefore w:val="0"/>
        <w:kinsoku/>
        <w:wordWrap/>
        <w:overflowPunct/>
        <w:topLinePunct w:val="0"/>
        <w:bidi w:val="0"/>
        <w:spacing w:after="0" w:line="590" w:lineRule="exact"/>
        <w:ind w:left="0"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（三）释义1.日平均气温值：指一天 24 小时的平均气温。气象学上通常用一天中的 02 时、08 时、14 时和 20 时，4 个时刻的气温相加后平均作为一天的平均气温（即 4 个气温相加除以 4），结果保留一位小数。</w:t>
      </w:r>
    </w:p>
    <w:p>
      <w:pPr>
        <w:pStyle w:val="50"/>
        <w:pageBreakBefore w:val="0"/>
        <w:kinsoku/>
        <w:wordWrap/>
        <w:overflowPunct/>
        <w:topLinePunct w:val="0"/>
        <w:bidi w:val="0"/>
        <w:spacing w:after="0" w:line="590" w:lineRule="exact"/>
        <w:ind w:left="0"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持续高温事故：如果参照观测站日平均气温连续2（两）天等于或高于31.5摄氏度，视为发生持续高温事故。每次持续高温事故从日平均气温等于或高于31.5摄氏度那一天开始。如果参照观测站日平均气温低于31.5摄氏度，持续高温事故结束。持续高温事故结束日为最后一个日平均气温等于或高于31.5摄氏度的那一天。</w:t>
      </w:r>
    </w:p>
    <w:p>
      <w:pPr>
        <w:pageBreakBefore w:val="0"/>
        <w:kinsoku/>
        <w:wordWrap/>
        <w:overflowPunct/>
        <w:topLinePunct w:val="0"/>
        <w:bidi w:val="0"/>
        <w:spacing w:line="590" w:lineRule="exact"/>
        <w:rPr>
          <w:rFonts w:ascii="Times New Roman" w:hAnsi="Times New Roman" w:cs="Times New Roman"/>
          <w:color w:val="000000" w:themeColor="text1"/>
          <w:szCs w:val="32"/>
          <w14:textFill>
            <w14:solidFill>
              <w14:schemeClr w14:val="tx1"/>
            </w14:solidFill>
          </w14:textFill>
        </w:rPr>
      </w:pPr>
    </w:p>
    <w:p>
      <w:pPr>
        <w:pageBreakBefore w:val="0"/>
        <w:kinsoku/>
        <w:wordWrap/>
        <w:overflowPunct/>
        <w:topLinePunct w:val="0"/>
        <w:bidi w:val="0"/>
        <w:adjustRightInd w:val="0"/>
        <w:snapToGrid w:val="0"/>
        <w:spacing w:line="590" w:lineRule="exact"/>
        <w:ind w:firstLine="640" w:firstLineChars="200"/>
        <w:rPr>
          <w:rFonts w:hint="default" w:ascii="CESI楷体-GB2312" w:hAnsi="CESI楷体-GB2312" w:eastAsia="CESI楷体-GB2312" w:cs="CESI楷体-GB2312"/>
          <w:color w:val="000000"/>
          <w:kern w:val="2"/>
          <w:sz w:val="32"/>
          <w:szCs w:val="32"/>
          <w:lang w:val="en-US" w:eastAsia="zh-CN" w:bidi="ar-SA"/>
        </w:rPr>
      </w:pPr>
      <w:r>
        <w:rPr>
          <w:rFonts w:hint="eastAsia" w:ascii="CESI楷体-GB2312" w:hAnsi="CESI楷体-GB2312" w:eastAsia="CESI楷体-GB2312" w:cs="CESI楷体-GB2312"/>
          <w:color w:val="000000"/>
          <w:kern w:val="2"/>
          <w:sz w:val="32"/>
          <w:szCs w:val="32"/>
          <w:lang w:val="en-US" w:eastAsia="zh-CN" w:bidi="ar-SA"/>
        </w:rPr>
        <w:t>主办单位：中国人寿财产保险股份有限公司东营市垦利支公司   联系方式：郭震  18562107788</w:t>
      </w:r>
    </w:p>
    <w:p>
      <w:pPr>
        <w:pageBreakBefore w:val="0"/>
        <w:kinsoku/>
        <w:wordWrap/>
        <w:overflowPunct/>
        <w:topLinePunct w:val="0"/>
        <w:bidi w:val="0"/>
        <w:spacing w:line="590" w:lineRule="exact"/>
        <w:rPr>
          <w:rFonts w:ascii="Times New Roman" w:hAnsi="Times New Roman" w:cs="Times New Roman"/>
          <w:color w:val="000000" w:themeColor="text1"/>
          <w:szCs w:val="32"/>
          <w14:textFill>
            <w14:solidFill>
              <w14:schemeClr w14:val="tx1"/>
            </w14:solidFill>
          </w14:textFill>
        </w:rPr>
      </w:pPr>
    </w:p>
    <w:p>
      <w:pPr>
        <w:pageBreakBefore w:val="0"/>
        <w:kinsoku/>
        <w:wordWrap/>
        <w:overflowPunct/>
        <w:topLinePunct w:val="0"/>
        <w:bidi w:val="0"/>
        <w:spacing w:line="590" w:lineRule="exact"/>
        <w:rPr>
          <w:rFonts w:ascii="Times New Roman" w:hAnsi="Times New Roman" w:cs="Times New Roman"/>
          <w:color w:val="000000" w:themeColor="text1"/>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宋体" w:hAnsi="宋体" w:eastAsia="宋体" w:cs="宋体"/>
          <w:b/>
          <w:bCs/>
          <w:sz w:val="32"/>
          <w:szCs w:val="32"/>
          <w:lang w:val="en" w:eastAsia="zh-CN"/>
        </w:rPr>
      </w:pPr>
      <w:bookmarkStart w:id="35" w:name="_Toc15822"/>
      <w:r>
        <w:rPr>
          <w:rFonts w:hint="eastAsia" w:ascii="方正小标宋简体" w:hAnsi="方正小标宋简体" w:eastAsia="方正小标宋简体" w:cs="方正小标宋简体"/>
          <w:b w:val="0"/>
          <w:bCs w:val="0"/>
          <w:sz w:val="36"/>
          <w:szCs w:val="36"/>
          <w:lang w:val="en-US" w:eastAsia="zh-CN"/>
        </w:rPr>
        <w:t>政策性畜牧业保险</w:t>
      </w:r>
      <w:bookmarkEnd w:id="35"/>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left"/>
        <w:textAlignment w:val="auto"/>
        <w:rPr>
          <w:rFonts w:hint="eastAsia" w:ascii="CESI黑体-GB2312" w:hAnsi="CESI黑体-GB2312" w:eastAsia="CESI黑体-GB2312" w:cs="CESI黑体-GB2312"/>
          <w:sz w:val="32"/>
          <w:szCs w:val="32"/>
          <w:lang w:val="en"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CESI仿宋-GB2312" w:hAnsi="CESI仿宋-GB2312" w:eastAsia="CESI仿宋-GB2312" w:cs="CESI仿宋-GB2312"/>
          <w:sz w:val="32"/>
          <w:szCs w:val="32"/>
          <w:lang w:val="en-US" w:eastAsia="zh-CN"/>
        </w:rPr>
      </w:pPr>
      <w:r>
        <w:rPr>
          <w:rFonts w:hint="eastAsia" w:ascii="Times New Roman" w:hAnsi="Times New Roman" w:eastAsia="黑体" w:cs="Times New Roman"/>
          <w:color w:val="auto"/>
          <w:kern w:val="2"/>
          <w:sz w:val="32"/>
          <w:szCs w:val="32"/>
          <w:lang w:val="en-US" w:eastAsia="zh-CN" w:bidi="ar-SA"/>
        </w:rPr>
        <w:t>一、服务对象和范围</w:t>
      </w:r>
    </w:p>
    <w:p>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ascii="仿宋_GB2312" w:hAnsi="Arial" w:eastAsia="仿宋_GB2312" w:cs="Arial"/>
          <w:color w:val="000000"/>
          <w:kern w:val="0"/>
          <w:sz w:val="32"/>
          <w:szCs w:val="32"/>
        </w:rPr>
      </w:pPr>
      <w:r>
        <w:rPr>
          <w:rFonts w:hint="eastAsia" w:ascii="楷体_GB2312" w:hAnsi="Arial" w:eastAsia="楷体_GB2312" w:cs="Arial"/>
          <w:b w:val="0"/>
          <w:bCs/>
          <w:color w:val="000000"/>
          <w:kern w:val="0"/>
          <w:sz w:val="32"/>
          <w:szCs w:val="32"/>
        </w:rPr>
        <w:t>（一）保费补贴品种</w:t>
      </w:r>
      <w:r>
        <w:rPr>
          <w:rFonts w:hint="eastAsia" w:ascii="楷体_GB2312" w:hAnsi="Arial" w:eastAsia="楷体_GB2312" w:cs="Arial"/>
          <w:b w:val="0"/>
          <w:bCs/>
          <w:color w:val="000000"/>
          <w:kern w:val="0"/>
          <w:sz w:val="32"/>
          <w:szCs w:val="32"/>
          <w:lang w:eastAsia="zh-CN"/>
        </w:rPr>
        <w:t>。</w:t>
      </w:r>
      <w:r>
        <w:rPr>
          <w:rFonts w:hint="eastAsia" w:ascii="仿宋_GB2312" w:hAnsi="仿宋_GB2312" w:eastAsia="仿宋_GB2312" w:cs="仿宋_GB2312"/>
          <w:color w:val="000000"/>
          <w:kern w:val="2"/>
          <w:sz w:val="32"/>
          <w:szCs w:val="32"/>
          <w:lang w:val="en-US" w:eastAsia="zh-CN" w:bidi="ar-SA"/>
        </w:rPr>
        <w:t>能繁母猪、育肥猪、奶牛保险。</w:t>
      </w:r>
    </w:p>
    <w:p>
      <w:pPr>
        <w:keepNext w:val="0"/>
        <w:keepLines w:val="0"/>
        <w:pageBreakBefore w:val="0"/>
        <w:widowControl/>
        <w:numPr>
          <w:ilvl w:val="0"/>
          <w:numId w:val="4"/>
        </w:numPr>
        <w:kinsoku/>
        <w:wordWrap/>
        <w:overflowPunct/>
        <w:topLinePunct w:val="0"/>
        <w:autoSpaceDE/>
        <w:autoSpaceDN/>
        <w:bidi w:val="0"/>
        <w:adjustRightInd/>
        <w:snapToGrid/>
        <w:spacing w:line="590" w:lineRule="exact"/>
        <w:ind w:firstLine="640" w:firstLineChars="200"/>
        <w:textAlignment w:val="auto"/>
        <w:rPr>
          <w:rFonts w:hint="eastAsia" w:ascii="仿宋_GB2312" w:hAnsi="Calibri" w:eastAsia="仿宋_GB2312" w:cs="Times New Roman"/>
          <w:sz w:val="32"/>
          <w:szCs w:val="32"/>
          <w:lang w:val="en-US" w:eastAsia="zh-CN"/>
        </w:rPr>
      </w:pPr>
      <w:r>
        <w:rPr>
          <w:rFonts w:hint="eastAsia" w:ascii="楷体_GB2312" w:hAnsi="Arial" w:eastAsia="楷体_GB2312" w:cs="Arial"/>
          <w:b w:val="0"/>
          <w:bCs/>
          <w:color w:val="000000"/>
          <w:kern w:val="0"/>
          <w:sz w:val="32"/>
          <w:szCs w:val="32"/>
          <w:lang w:eastAsia="zh-CN"/>
        </w:rPr>
        <w:t>参保对象。</w:t>
      </w:r>
      <w:r>
        <w:rPr>
          <w:rFonts w:hint="eastAsia" w:ascii="仿宋_GB2312" w:hAnsi="Calibri" w:eastAsia="仿宋_GB2312" w:cs="Times New Roman"/>
          <w:sz w:val="32"/>
          <w:szCs w:val="32"/>
          <w:lang w:val="en-US" w:eastAsia="zh-CN"/>
        </w:rPr>
        <w:t>为全市所有养殖</w:t>
      </w:r>
      <w:r>
        <w:rPr>
          <w:rFonts w:hint="eastAsia" w:ascii="仿宋_GB2312" w:eastAsia="仿宋_GB2312" w:cs="Times New Roman"/>
          <w:sz w:val="32"/>
          <w:szCs w:val="32"/>
          <w:lang w:val="en-US" w:eastAsia="zh-CN"/>
        </w:rPr>
        <w:t>以上品种的所有用户、家庭农场、企业、合作社等经营主体。养殖主体必须不在禁养区范围内才能参保；参保的养殖主体必须全场投保，不得选择性投保。</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仿宋_GB2312" w:hAnsi="Calibri" w:eastAsia="仿宋_GB2312" w:cs="Times New Roman"/>
          <w:sz w:val="32"/>
          <w:szCs w:val="32"/>
        </w:rPr>
      </w:pPr>
      <w:r>
        <w:rPr>
          <w:rFonts w:hint="eastAsia" w:ascii="楷体_GB2312" w:hAnsi="Arial" w:eastAsia="楷体_GB2312" w:cs="Arial"/>
          <w:b w:val="0"/>
          <w:bCs/>
          <w:color w:val="000000"/>
          <w:kern w:val="0"/>
          <w:sz w:val="32"/>
          <w:szCs w:val="32"/>
        </w:rPr>
        <w:t>（二）保险责任范围</w:t>
      </w:r>
      <w:r>
        <w:rPr>
          <w:rFonts w:hint="eastAsia" w:ascii="楷体_GB2312" w:hAnsi="Arial" w:eastAsia="楷体_GB2312" w:cs="Arial"/>
          <w:b w:val="0"/>
          <w:bCs/>
          <w:color w:val="000000"/>
          <w:kern w:val="0"/>
          <w:sz w:val="32"/>
          <w:szCs w:val="32"/>
          <w:lang w:eastAsia="zh-CN"/>
        </w:rPr>
        <w:t>。</w:t>
      </w:r>
      <w:r>
        <w:rPr>
          <w:rFonts w:hint="eastAsia" w:ascii="仿宋_GB2312" w:hAnsi="Calibri" w:eastAsia="仿宋_GB2312" w:cs="Times New Roman"/>
          <w:sz w:val="32"/>
          <w:szCs w:val="32"/>
        </w:rPr>
        <w:t>能繁母猪、育肥猪、奶牛的保险责任为在保险期限内，因重大病害、自然灾害和意外事故所引致的保险个体直接死亡。</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w:t>
      </w:r>
      <w:r>
        <w:rPr>
          <w:rFonts w:ascii="仿宋_GB2312" w:hAnsi="Calibri" w:eastAsia="仿宋_GB2312" w:cs="Times New Roman"/>
          <w:sz w:val="32"/>
          <w:szCs w:val="32"/>
        </w:rPr>
        <w:t>1</w:t>
      </w:r>
      <w:r>
        <w:rPr>
          <w:rFonts w:hint="eastAsia" w:ascii="仿宋_GB2312" w:hAnsi="Calibri" w:eastAsia="仿宋_GB2312" w:cs="Times New Roman"/>
          <w:sz w:val="32"/>
          <w:szCs w:val="32"/>
        </w:rPr>
        <w:t>）重大病害包括：</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能繁母猪和育肥猪：猪丹毒、猪肺疫、猪水泡病、猪链球菌、猪乙型脑炎、附红细胞体病、伪狂犬病、猪细小病毒、猪传染性萎缩性鼻炎、猪支原体肺炎、旋毛虫病、猪囊尾蚴病、猪副伤寒、猪圆环病毒病、猪传染性胃肠炎、猪魏氏梭菌病，口蹄疫、猪瘟、高致病性蓝耳病及其强制免疫副反应。</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奶牛：口蹄疫、布鲁氏菌病、牛结核病、牛焦虫病、炭疽、伪狂犬病、肺结核病、牛传染性鼻气管炎、牛出血性败血症、日本血吸虫病。</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w:t>
      </w:r>
      <w:r>
        <w:rPr>
          <w:rFonts w:ascii="仿宋_GB2312" w:hAnsi="Calibri" w:eastAsia="仿宋_GB2312" w:cs="Times New Roman"/>
          <w:sz w:val="32"/>
          <w:szCs w:val="32"/>
        </w:rPr>
        <w:t>2</w:t>
      </w:r>
      <w:r>
        <w:rPr>
          <w:rFonts w:hint="eastAsia" w:ascii="仿宋_GB2312" w:hAnsi="Calibri" w:eastAsia="仿宋_GB2312" w:cs="Times New Roman"/>
          <w:sz w:val="32"/>
          <w:szCs w:val="32"/>
        </w:rPr>
        <w:t>）自然灾害包括：暴雨、洪水（政府</w:t>
      </w:r>
      <w:r>
        <w:rPr>
          <w:rFonts w:hint="eastAsia" w:ascii="仿宋_GB2312" w:eastAsia="仿宋_GB2312" w:cs="Times New Roman"/>
          <w:sz w:val="32"/>
          <w:szCs w:val="32"/>
          <w:lang w:eastAsia="zh-CN"/>
        </w:rPr>
        <w:t>性</w:t>
      </w:r>
      <w:r>
        <w:rPr>
          <w:rFonts w:hint="eastAsia" w:ascii="仿宋_GB2312" w:hAnsi="Calibri" w:eastAsia="仿宋_GB2312" w:cs="Times New Roman"/>
          <w:sz w:val="32"/>
          <w:szCs w:val="32"/>
        </w:rPr>
        <w:t>蓄洪除外）、风灾、雷电、地震、冰雹、冻灾。</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ascii="仿宋_GB2312" w:hAnsi="Calibri" w:eastAsia="仿宋_GB2312" w:cs="Times New Roman"/>
          <w:sz w:val="32"/>
          <w:szCs w:val="32"/>
        </w:rPr>
      </w:pPr>
      <w:r>
        <w:rPr>
          <w:rFonts w:hint="eastAsia" w:ascii="仿宋_GB2312" w:hAnsi="Calibri" w:eastAsia="仿宋_GB2312" w:cs="Times New Roman"/>
          <w:sz w:val="32"/>
          <w:szCs w:val="32"/>
        </w:rPr>
        <w:t>（</w:t>
      </w:r>
      <w:r>
        <w:rPr>
          <w:rFonts w:ascii="仿宋_GB2312" w:hAnsi="Calibri" w:eastAsia="仿宋_GB2312" w:cs="Times New Roman"/>
          <w:sz w:val="32"/>
          <w:szCs w:val="32"/>
        </w:rPr>
        <w:t>3</w:t>
      </w:r>
      <w:r>
        <w:rPr>
          <w:rFonts w:hint="eastAsia" w:ascii="仿宋_GB2312" w:hAnsi="Calibri" w:eastAsia="仿宋_GB2312" w:cs="Times New Roman"/>
          <w:sz w:val="32"/>
          <w:szCs w:val="32"/>
        </w:rPr>
        <w:t>）意外事故包括：山体滑坡、泥石流、火灾、爆炸、建筑物倒塌、空中运行物体坠落。</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二、</w:t>
      </w:r>
      <w:r>
        <w:rPr>
          <w:rFonts w:hint="eastAsia" w:ascii="Times New Roman" w:hAnsi="Times New Roman" w:eastAsia="黑体" w:cs="Times New Roman"/>
          <w:sz w:val="32"/>
          <w:szCs w:val="32"/>
        </w:rPr>
        <w:t>政策名称</w:t>
      </w:r>
      <w:r>
        <w:rPr>
          <w:rFonts w:hint="eastAsia" w:ascii="Times New Roman" w:hAnsi="Times New Roman" w:eastAsia="黑体" w:cs="Times New Roman"/>
          <w:sz w:val="32"/>
          <w:szCs w:val="32"/>
          <w:lang w:eastAsia="zh-CN"/>
        </w:rPr>
        <w:t>或政策依据</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lang w:val="en-US" w:eastAsia="zh-CN"/>
        </w:rPr>
        <w:t xml:space="preserve"> </w:t>
      </w:r>
      <w:r>
        <w:rPr>
          <w:rFonts w:hint="eastAsia" w:ascii="仿宋_GB2312" w:hAnsi="仿宋_GB2312" w:eastAsia="仿宋_GB2312" w:cs="仿宋_GB2312"/>
          <w:sz w:val="32"/>
          <w:szCs w:val="32"/>
          <w:lang w:val="en-US" w:eastAsia="zh-CN"/>
        </w:rPr>
        <w:t>2014年7月14日，按照山东省农业厅 山东省财政厅 山东省林业厅 山东省金融办 中国保监会山东监管局关于印发《</w:t>
      </w:r>
      <w:r>
        <w:rPr>
          <w:rFonts w:hint="eastAsia" w:ascii="仿宋_GB2312" w:hAnsi="仿宋_GB2312" w:eastAsia="仿宋_GB2312" w:cs="仿宋_GB2312"/>
          <w:sz w:val="32"/>
          <w:szCs w:val="32"/>
          <w:lang w:eastAsia="zh-CN"/>
        </w:rPr>
        <w:t>山东省</w:t>
      </w:r>
      <w:r>
        <w:rPr>
          <w:rFonts w:hint="eastAsia" w:ascii="仿宋_GB2312" w:hAnsi="仿宋_GB2312" w:eastAsia="仿宋_GB2312" w:cs="仿宋_GB2312"/>
          <w:sz w:val="32"/>
          <w:szCs w:val="32"/>
        </w:rPr>
        <w:t>农业保险新增补贴品种实施方案</w:t>
      </w:r>
      <w:r>
        <w:rPr>
          <w:rFonts w:hint="eastAsia" w:ascii="仿宋_GB2312" w:hAnsi="仿宋_GB2312" w:eastAsia="仿宋_GB2312" w:cs="仿宋_GB2312"/>
          <w:sz w:val="32"/>
          <w:szCs w:val="32"/>
          <w:lang w:val="en-US" w:eastAsia="zh-CN"/>
        </w:rPr>
        <w:t>》的通知（</w:t>
      </w:r>
      <w:r>
        <w:rPr>
          <w:rFonts w:hint="eastAsia" w:ascii="仿宋_GB2312" w:hAnsi="仿宋_GB2312" w:eastAsia="仿宋_GB2312" w:cs="仿宋_GB2312"/>
          <w:color w:val="000000"/>
          <w:kern w:val="0"/>
          <w:sz w:val="32"/>
          <w:szCs w:val="32"/>
          <w:lang w:eastAsia="zh-CN"/>
        </w:rPr>
        <w:t>鲁农种植字</w:t>
      </w:r>
      <w:r>
        <w:rPr>
          <w:rFonts w:hint="eastAsia" w:ascii="仿宋_GB2312" w:hAnsi="仿宋_GB2312" w:eastAsia="仿宋_GB2312" w:cs="仿宋_GB2312"/>
          <w:color w:val="000000"/>
          <w:kern w:val="0"/>
          <w:sz w:val="32"/>
          <w:szCs w:val="32"/>
        </w:rPr>
        <w:t>〔201</w:t>
      </w:r>
      <w:r>
        <w:rPr>
          <w:rFonts w:hint="eastAsia" w:ascii="仿宋_GB2312" w:hAnsi="仿宋_GB2312" w:eastAsia="仿宋_GB2312" w:cs="仿宋_GB2312"/>
          <w:color w:val="000000"/>
          <w:kern w:val="0"/>
          <w:sz w:val="32"/>
          <w:szCs w:val="32"/>
          <w:lang w:val="en-US" w:eastAsia="zh-CN"/>
        </w:rPr>
        <w:t>3</w:t>
      </w: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lang w:val="en-US" w:eastAsia="zh-CN"/>
        </w:rPr>
        <w:t>6</w:t>
      </w:r>
      <w:r>
        <w:rPr>
          <w:rFonts w:hint="eastAsia" w:ascii="仿宋_GB2312" w:hAnsi="仿宋_GB2312" w:eastAsia="仿宋_GB2312" w:cs="仿宋_GB2312"/>
          <w:color w:val="000000"/>
          <w:kern w:val="0"/>
          <w:sz w:val="32"/>
          <w:szCs w:val="32"/>
        </w:rPr>
        <w:t>号</w:t>
      </w:r>
      <w:r>
        <w:rPr>
          <w:rFonts w:hint="eastAsia" w:ascii="仿宋_GB2312" w:hAnsi="仿宋_GB2312" w:eastAsia="仿宋_GB2312" w:cs="仿宋_GB2312"/>
          <w:sz w:val="32"/>
          <w:szCs w:val="32"/>
          <w:lang w:val="en-US" w:eastAsia="zh-CN"/>
        </w:rPr>
        <w:t>）要求，东营市农业局会同东营市财政局、东营市畜牧局等5部门出台了《</w:t>
      </w:r>
      <w:r>
        <w:rPr>
          <w:rFonts w:hint="eastAsia" w:ascii="仿宋_GB2312" w:hAnsi="仿宋_GB2312" w:eastAsia="仿宋_GB2312" w:cs="仿宋_GB2312"/>
          <w:sz w:val="32"/>
          <w:szCs w:val="32"/>
        </w:rPr>
        <w:t>东营市农业保险新增补贴品种实施方案</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000000"/>
          <w:kern w:val="0"/>
          <w:sz w:val="32"/>
          <w:szCs w:val="32"/>
        </w:rPr>
        <w:t>东农发〔2014〕103号</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sz w:val="32"/>
          <w:szCs w:val="32"/>
          <w:lang w:val="en-US" w:eastAsia="zh-CN"/>
        </w:rPr>
        <w:t>;2019年3月18日山东省畜牧兽医局 山东省财政厅 山东省地方金融监督管理局 中国银保监会山东监管局关于印发《山东省畜牧业保险实施方案》的通知（</w:t>
      </w:r>
      <w:r>
        <w:rPr>
          <w:rFonts w:hint="eastAsia" w:ascii="仿宋_GB2312" w:hAnsi="仿宋_GB2312" w:eastAsia="仿宋_GB2312" w:cs="仿宋_GB2312"/>
          <w:color w:val="000000"/>
          <w:kern w:val="0"/>
          <w:sz w:val="32"/>
          <w:szCs w:val="32"/>
          <w:lang w:eastAsia="zh-CN"/>
        </w:rPr>
        <w:t>鲁牧计财</w:t>
      </w:r>
      <w:r>
        <w:rPr>
          <w:rFonts w:hint="eastAsia" w:ascii="仿宋_GB2312" w:hAnsi="仿宋_GB2312" w:eastAsia="仿宋_GB2312" w:cs="仿宋_GB2312"/>
          <w:color w:val="000000"/>
          <w:kern w:val="0"/>
          <w:sz w:val="32"/>
          <w:szCs w:val="32"/>
        </w:rPr>
        <w:t>发〔201</w:t>
      </w:r>
      <w:r>
        <w:rPr>
          <w:rFonts w:hint="eastAsia" w:ascii="仿宋_GB2312" w:hAnsi="仿宋_GB2312" w:eastAsia="仿宋_GB2312" w:cs="仿宋_GB2312"/>
          <w:color w:val="000000"/>
          <w:kern w:val="0"/>
          <w:sz w:val="32"/>
          <w:szCs w:val="32"/>
          <w:lang w:val="en-US" w:eastAsia="zh-CN"/>
        </w:rPr>
        <w:t>9</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val="en-US" w:eastAsia="zh-CN"/>
        </w:rPr>
        <w:t>11</w:t>
      </w:r>
      <w:r>
        <w:rPr>
          <w:rFonts w:hint="eastAsia" w:ascii="仿宋_GB2312" w:hAnsi="仿宋_GB2312" w:eastAsia="仿宋_GB2312" w:cs="仿宋_GB2312"/>
          <w:color w:val="000000"/>
          <w:kern w:val="0"/>
          <w:sz w:val="32"/>
          <w:szCs w:val="32"/>
        </w:rPr>
        <w:t>号</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sz w:val="32"/>
          <w:szCs w:val="32"/>
          <w:lang w:val="en-US" w:eastAsia="zh-CN"/>
        </w:rPr>
        <w:t>，对育肥猪和能繁母猪保险条款进行了修订。</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CESI仿宋-GB2312" w:hAnsi="CESI仿宋-GB2312" w:eastAsia="CESI仿宋-GB2312" w:cs="CESI仿宋-GB2312"/>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三、政策措施内容及标准</w:t>
      </w:r>
      <w:r>
        <w:rPr>
          <w:rFonts w:hint="eastAsia"/>
          <w:lang w:val="en-US" w:eastAsia="zh-CN"/>
        </w:rPr>
        <w:t xml:space="preserve">     </w:t>
      </w:r>
    </w:p>
    <w:p>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ascii="仿宋_GB2312" w:hAnsi="Arial" w:eastAsia="仿宋_GB2312" w:cs="Arial"/>
          <w:color w:val="auto"/>
          <w:kern w:val="0"/>
          <w:sz w:val="32"/>
          <w:szCs w:val="32"/>
        </w:rPr>
      </w:pPr>
      <w:r>
        <w:rPr>
          <w:rFonts w:hint="eastAsia" w:ascii="楷体_GB2312" w:hAnsi="楷体_GB2312" w:eastAsia="楷体_GB2312" w:cs="楷体_GB2312"/>
          <w:color w:val="000000"/>
          <w:kern w:val="0"/>
          <w:sz w:val="32"/>
          <w:szCs w:val="32"/>
          <w:lang w:eastAsia="zh-CN"/>
        </w:rPr>
        <w:t>（一）基本保障水平。</w:t>
      </w:r>
      <w:r>
        <w:rPr>
          <w:rFonts w:hint="eastAsia" w:ascii="仿宋_GB2312" w:hAnsi="Arial" w:eastAsia="仿宋_GB2312" w:cs="Arial"/>
          <w:color w:val="000000"/>
          <w:kern w:val="0"/>
          <w:sz w:val="32"/>
          <w:szCs w:val="32"/>
        </w:rPr>
        <w:t>养殖业保险补贴险种的保险金额，参照投保个体的生理价值（包括购买价格和饲养成本）确定，保险费率为</w:t>
      </w:r>
      <w:r>
        <w:rPr>
          <w:rFonts w:ascii="仿宋_GB2312" w:hAnsi="Arial" w:eastAsia="仿宋_GB2312" w:cs="Arial"/>
          <w:color w:val="000000"/>
          <w:kern w:val="0"/>
          <w:sz w:val="32"/>
          <w:szCs w:val="32"/>
        </w:rPr>
        <w:t>6%</w:t>
      </w:r>
      <w:r>
        <w:rPr>
          <w:rFonts w:hint="eastAsia" w:ascii="仿宋_GB2312" w:hAnsi="Arial" w:eastAsia="仿宋_GB2312" w:cs="Arial"/>
          <w:color w:val="000000"/>
          <w:kern w:val="0"/>
          <w:sz w:val="32"/>
          <w:szCs w:val="32"/>
        </w:rPr>
        <w:t>。具体标准为</w:t>
      </w:r>
      <w:r>
        <w:rPr>
          <w:rFonts w:hint="eastAsia" w:ascii="仿宋_GB2312" w:hAnsi="Arial" w:eastAsia="仿宋_GB2312" w:cs="Arial"/>
          <w:color w:val="auto"/>
          <w:kern w:val="0"/>
          <w:sz w:val="32"/>
          <w:szCs w:val="32"/>
        </w:rPr>
        <w:t>：能繁母猪保险费</w:t>
      </w:r>
      <w:r>
        <w:rPr>
          <w:rFonts w:hint="eastAsia" w:ascii="仿宋_GB2312" w:hAnsi="Arial" w:eastAsia="仿宋_GB2312" w:cs="Arial"/>
          <w:color w:val="auto"/>
          <w:kern w:val="0"/>
          <w:sz w:val="32"/>
          <w:szCs w:val="32"/>
          <w:lang w:val="en-US" w:eastAsia="zh-CN"/>
        </w:rPr>
        <w:t>72</w:t>
      </w:r>
      <w:r>
        <w:rPr>
          <w:rFonts w:hint="eastAsia" w:ascii="仿宋_GB2312" w:hAnsi="Arial" w:eastAsia="仿宋_GB2312" w:cs="Arial"/>
          <w:color w:val="auto"/>
          <w:kern w:val="0"/>
          <w:sz w:val="32"/>
          <w:szCs w:val="32"/>
        </w:rPr>
        <w:t>元</w:t>
      </w:r>
      <w:r>
        <w:rPr>
          <w:rFonts w:ascii="仿宋_GB2312" w:hAnsi="Arial" w:eastAsia="仿宋_GB2312" w:cs="Arial"/>
          <w:color w:val="auto"/>
          <w:kern w:val="0"/>
          <w:sz w:val="32"/>
          <w:szCs w:val="32"/>
        </w:rPr>
        <w:t>/</w:t>
      </w:r>
      <w:r>
        <w:rPr>
          <w:rFonts w:hint="eastAsia" w:ascii="仿宋_GB2312" w:hAnsi="Arial" w:eastAsia="仿宋_GB2312" w:cs="Arial"/>
          <w:color w:val="auto"/>
          <w:kern w:val="0"/>
          <w:sz w:val="32"/>
          <w:szCs w:val="32"/>
        </w:rPr>
        <w:t>头，保险金额</w:t>
      </w:r>
      <w:r>
        <w:rPr>
          <w:rFonts w:hint="eastAsia" w:ascii="仿宋_GB2312" w:hAnsi="Arial" w:eastAsia="仿宋_GB2312" w:cs="Arial"/>
          <w:color w:val="auto"/>
          <w:kern w:val="0"/>
          <w:sz w:val="32"/>
          <w:szCs w:val="32"/>
          <w:lang w:val="en-US" w:eastAsia="zh-CN"/>
        </w:rPr>
        <w:t>1200</w:t>
      </w:r>
      <w:r>
        <w:rPr>
          <w:rFonts w:hint="eastAsia" w:ascii="仿宋_GB2312" w:hAnsi="Arial" w:eastAsia="仿宋_GB2312" w:cs="Arial"/>
          <w:color w:val="auto"/>
          <w:kern w:val="0"/>
          <w:sz w:val="32"/>
          <w:szCs w:val="32"/>
        </w:rPr>
        <w:t>元</w:t>
      </w:r>
      <w:r>
        <w:rPr>
          <w:rFonts w:ascii="仿宋_GB2312" w:hAnsi="Arial" w:eastAsia="仿宋_GB2312" w:cs="Arial"/>
          <w:color w:val="auto"/>
          <w:kern w:val="0"/>
          <w:sz w:val="32"/>
          <w:szCs w:val="32"/>
        </w:rPr>
        <w:t>/</w:t>
      </w:r>
      <w:r>
        <w:rPr>
          <w:rFonts w:hint="eastAsia" w:ascii="仿宋_GB2312" w:hAnsi="Arial" w:eastAsia="仿宋_GB2312" w:cs="Arial"/>
          <w:color w:val="auto"/>
          <w:kern w:val="0"/>
          <w:sz w:val="32"/>
          <w:szCs w:val="32"/>
        </w:rPr>
        <w:t>头；育肥猪保险费</w:t>
      </w:r>
      <w:r>
        <w:rPr>
          <w:rFonts w:hint="eastAsia" w:ascii="仿宋_GB2312" w:hAnsi="Arial" w:eastAsia="仿宋_GB2312" w:cs="Arial"/>
          <w:color w:val="auto"/>
          <w:kern w:val="0"/>
          <w:sz w:val="32"/>
          <w:szCs w:val="32"/>
          <w:lang w:val="en-US" w:eastAsia="zh-CN"/>
        </w:rPr>
        <w:t>48</w:t>
      </w:r>
      <w:r>
        <w:rPr>
          <w:rFonts w:hint="eastAsia" w:ascii="仿宋_GB2312" w:hAnsi="Arial" w:eastAsia="仿宋_GB2312" w:cs="Arial"/>
          <w:color w:val="auto"/>
          <w:kern w:val="0"/>
          <w:sz w:val="32"/>
          <w:szCs w:val="32"/>
        </w:rPr>
        <w:t>元</w:t>
      </w:r>
      <w:r>
        <w:rPr>
          <w:rFonts w:ascii="仿宋_GB2312" w:hAnsi="Arial" w:eastAsia="仿宋_GB2312" w:cs="Arial"/>
          <w:color w:val="auto"/>
          <w:kern w:val="0"/>
          <w:sz w:val="32"/>
          <w:szCs w:val="32"/>
        </w:rPr>
        <w:t>/</w:t>
      </w:r>
      <w:r>
        <w:rPr>
          <w:rFonts w:hint="eastAsia" w:ascii="仿宋_GB2312" w:hAnsi="Arial" w:eastAsia="仿宋_GB2312" w:cs="Arial"/>
          <w:color w:val="auto"/>
          <w:kern w:val="0"/>
          <w:sz w:val="32"/>
          <w:szCs w:val="32"/>
        </w:rPr>
        <w:t>头，保险金额</w:t>
      </w:r>
      <w:r>
        <w:rPr>
          <w:rFonts w:hint="eastAsia" w:ascii="仿宋_GB2312" w:hAnsi="Arial" w:eastAsia="仿宋_GB2312" w:cs="Arial"/>
          <w:color w:val="auto"/>
          <w:kern w:val="0"/>
          <w:sz w:val="32"/>
          <w:szCs w:val="32"/>
          <w:lang w:val="en-US" w:eastAsia="zh-CN"/>
        </w:rPr>
        <w:t>8</w:t>
      </w:r>
      <w:r>
        <w:rPr>
          <w:rFonts w:ascii="仿宋_GB2312" w:hAnsi="Arial" w:eastAsia="仿宋_GB2312" w:cs="Arial"/>
          <w:color w:val="auto"/>
          <w:kern w:val="0"/>
          <w:sz w:val="32"/>
          <w:szCs w:val="32"/>
        </w:rPr>
        <w:t>00</w:t>
      </w:r>
      <w:r>
        <w:rPr>
          <w:rFonts w:hint="eastAsia" w:ascii="仿宋_GB2312" w:hAnsi="Arial" w:eastAsia="仿宋_GB2312" w:cs="Arial"/>
          <w:color w:val="auto"/>
          <w:kern w:val="0"/>
          <w:sz w:val="32"/>
          <w:szCs w:val="32"/>
        </w:rPr>
        <w:t>元</w:t>
      </w:r>
      <w:r>
        <w:rPr>
          <w:rFonts w:ascii="仿宋_GB2312" w:hAnsi="Arial" w:eastAsia="仿宋_GB2312" w:cs="Arial"/>
          <w:color w:val="auto"/>
          <w:kern w:val="0"/>
          <w:sz w:val="32"/>
          <w:szCs w:val="32"/>
        </w:rPr>
        <w:t>/</w:t>
      </w:r>
      <w:r>
        <w:rPr>
          <w:rFonts w:hint="eastAsia" w:ascii="仿宋_GB2312" w:hAnsi="Arial" w:eastAsia="仿宋_GB2312" w:cs="Arial"/>
          <w:color w:val="auto"/>
          <w:kern w:val="0"/>
          <w:sz w:val="32"/>
          <w:szCs w:val="32"/>
        </w:rPr>
        <w:t>头；奶牛保险费</w:t>
      </w:r>
      <w:r>
        <w:rPr>
          <w:rFonts w:ascii="仿宋_GB2312" w:hAnsi="Arial" w:eastAsia="仿宋_GB2312" w:cs="Arial"/>
          <w:color w:val="auto"/>
          <w:kern w:val="0"/>
          <w:sz w:val="32"/>
          <w:szCs w:val="32"/>
        </w:rPr>
        <w:t>300</w:t>
      </w:r>
      <w:r>
        <w:rPr>
          <w:rFonts w:hint="eastAsia" w:ascii="仿宋_GB2312" w:hAnsi="Arial" w:eastAsia="仿宋_GB2312" w:cs="Arial"/>
          <w:color w:val="auto"/>
          <w:kern w:val="0"/>
          <w:sz w:val="32"/>
          <w:szCs w:val="32"/>
        </w:rPr>
        <w:t>元</w:t>
      </w:r>
      <w:r>
        <w:rPr>
          <w:rFonts w:ascii="仿宋_GB2312" w:hAnsi="Arial" w:eastAsia="仿宋_GB2312" w:cs="Arial"/>
          <w:color w:val="auto"/>
          <w:kern w:val="0"/>
          <w:sz w:val="32"/>
          <w:szCs w:val="32"/>
        </w:rPr>
        <w:t>/</w:t>
      </w:r>
      <w:r>
        <w:rPr>
          <w:rFonts w:hint="eastAsia" w:ascii="仿宋_GB2312" w:hAnsi="Arial" w:eastAsia="仿宋_GB2312" w:cs="Arial"/>
          <w:color w:val="auto"/>
          <w:kern w:val="0"/>
          <w:sz w:val="32"/>
          <w:szCs w:val="32"/>
        </w:rPr>
        <w:t>头，保险金额</w:t>
      </w:r>
      <w:r>
        <w:rPr>
          <w:rFonts w:ascii="仿宋_GB2312" w:hAnsi="Arial" w:eastAsia="仿宋_GB2312" w:cs="Arial"/>
          <w:color w:val="auto"/>
          <w:kern w:val="0"/>
          <w:sz w:val="32"/>
          <w:szCs w:val="32"/>
        </w:rPr>
        <w:t>5000</w:t>
      </w:r>
      <w:r>
        <w:rPr>
          <w:rFonts w:hint="eastAsia" w:ascii="仿宋_GB2312" w:hAnsi="Arial" w:eastAsia="仿宋_GB2312" w:cs="Arial"/>
          <w:color w:val="auto"/>
          <w:kern w:val="0"/>
          <w:sz w:val="32"/>
          <w:szCs w:val="32"/>
        </w:rPr>
        <w:t>元</w:t>
      </w:r>
      <w:r>
        <w:rPr>
          <w:rFonts w:ascii="仿宋_GB2312" w:hAnsi="Arial" w:eastAsia="仿宋_GB2312" w:cs="Arial"/>
          <w:color w:val="auto"/>
          <w:kern w:val="0"/>
          <w:sz w:val="32"/>
          <w:szCs w:val="32"/>
        </w:rPr>
        <w:t>/</w:t>
      </w:r>
      <w:r>
        <w:rPr>
          <w:rFonts w:hint="eastAsia" w:ascii="仿宋_GB2312" w:hAnsi="Arial" w:eastAsia="仿宋_GB2312" w:cs="Arial"/>
          <w:color w:val="auto"/>
          <w:kern w:val="0"/>
          <w:sz w:val="32"/>
          <w:szCs w:val="32"/>
        </w:rPr>
        <w:t>头。</w:t>
      </w:r>
    </w:p>
    <w:p>
      <w:pPr>
        <w:keepNext w:val="0"/>
        <w:keepLines w:val="0"/>
        <w:pageBreakBefore w:val="0"/>
        <w:kinsoku/>
        <w:wordWrap/>
        <w:overflowPunct/>
        <w:topLinePunct w:val="0"/>
        <w:autoSpaceDE/>
        <w:autoSpaceDN/>
        <w:bidi w:val="0"/>
        <w:adjustRightInd/>
        <w:snapToGrid/>
        <w:spacing w:line="590" w:lineRule="exact"/>
        <w:ind w:firstLine="640" w:firstLineChars="200"/>
        <w:jc w:val="left"/>
        <w:textAlignment w:val="auto"/>
        <w:outlineLvl w:val="9"/>
        <w:rPr>
          <w:rFonts w:hint="eastAsia" w:ascii="仿宋_GB2312" w:hAnsi="仿宋_GB2312" w:eastAsia="仿宋_GB2312" w:cs="仿宋_GB2312"/>
          <w:color w:val="000000"/>
          <w:sz w:val="32"/>
          <w:szCs w:val="32"/>
        </w:rPr>
      </w:pPr>
      <w:r>
        <w:rPr>
          <w:rFonts w:hint="eastAsia" w:ascii="楷体_GB2312" w:hAnsi="Times New Roman" w:eastAsia="楷体_GB2312" w:cs="Times New Roman"/>
          <w:b w:val="0"/>
          <w:bCs/>
          <w:sz w:val="32"/>
          <w:szCs w:val="32"/>
          <w:lang w:eastAsia="zh-CN"/>
        </w:rPr>
        <w:t>（二）</w:t>
      </w:r>
      <w:r>
        <w:rPr>
          <w:rFonts w:hint="eastAsia" w:ascii="楷体_GB2312" w:hAnsi="Times New Roman" w:eastAsia="楷体_GB2312" w:cs="Times New Roman"/>
          <w:b w:val="0"/>
          <w:bCs/>
          <w:sz w:val="32"/>
          <w:szCs w:val="32"/>
        </w:rPr>
        <w:t>保费补贴比例。</w:t>
      </w:r>
      <w:r>
        <w:rPr>
          <w:rFonts w:hint="eastAsia" w:ascii="仿宋_GB2312" w:hAnsi="仿宋_GB2312" w:eastAsia="仿宋_GB2312" w:cs="仿宋_GB2312"/>
          <w:b w:val="0"/>
          <w:bCs/>
          <w:sz w:val="32"/>
          <w:szCs w:val="32"/>
          <w:lang w:eastAsia="zh-CN"/>
        </w:rPr>
        <w:t>保费</w:t>
      </w:r>
      <w:r>
        <w:rPr>
          <w:rFonts w:hint="eastAsia" w:ascii="仿宋_GB2312" w:hAnsi="仿宋_GB2312" w:eastAsia="仿宋_GB2312" w:cs="仿宋_GB2312"/>
          <w:sz w:val="32"/>
          <w:szCs w:val="32"/>
        </w:rPr>
        <w:t>由农户</w:t>
      </w:r>
      <w:r>
        <w:rPr>
          <w:rFonts w:hint="eastAsia" w:ascii="仿宋_GB2312" w:hAnsi="仿宋_GB2312" w:eastAsia="仿宋_GB2312" w:cs="仿宋_GB2312"/>
          <w:sz w:val="32"/>
          <w:szCs w:val="32"/>
          <w:lang w:eastAsia="zh-CN"/>
        </w:rPr>
        <w:t>自行承担</w:t>
      </w:r>
      <w:r>
        <w:rPr>
          <w:rFonts w:hint="eastAsia" w:ascii="仿宋_GB2312" w:hAnsi="仿宋_GB2312" w:eastAsia="仿宋_GB2312" w:cs="仿宋_GB2312"/>
          <w:sz w:val="32"/>
          <w:szCs w:val="32"/>
        </w:rPr>
        <w:t>20%，其余80%由政府给予补贴。</w:t>
      </w:r>
      <w:r>
        <w:rPr>
          <w:rFonts w:hint="eastAsia" w:ascii="仿宋_GB2312" w:hAnsi="仿宋_GB2312" w:eastAsia="仿宋_GB2312" w:cs="仿宋_GB2312"/>
          <w:color w:val="000000"/>
          <w:sz w:val="32"/>
          <w:szCs w:val="32"/>
        </w:rPr>
        <w:t>政府补贴部分，各级</w:t>
      </w:r>
      <w:r>
        <w:rPr>
          <w:rFonts w:hint="eastAsia" w:ascii="仿宋_GB2312" w:hAnsi="仿宋_GB2312" w:eastAsia="仿宋_GB2312" w:cs="仿宋_GB2312"/>
          <w:color w:val="000000"/>
          <w:sz w:val="32"/>
          <w:szCs w:val="32"/>
          <w:lang w:eastAsia="zh-CN"/>
        </w:rPr>
        <w:t>财政</w:t>
      </w:r>
      <w:r>
        <w:rPr>
          <w:rFonts w:hint="eastAsia" w:ascii="仿宋_GB2312" w:hAnsi="仿宋_GB2312" w:eastAsia="仿宋_GB2312" w:cs="仿宋_GB2312"/>
          <w:color w:val="000000"/>
          <w:sz w:val="32"/>
          <w:szCs w:val="32"/>
        </w:rPr>
        <w:t>补贴资金分担比例为</w:t>
      </w:r>
      <w:r>
        <w:rPr>
          <w:rFonts w:hint="eastAsia" w:ascii="仿宋_GB2312" w:hAnsi="仿宋_GB2312" w:eastAsia="仿宋_GB2312" w:cs="仿宋_GB2312"/>
          <w:color w:val="000000"/>
          <w:sz w:val="32"/>
          <w:szCs w:val="32"/>
          <w:lang w:eastAsia="zh-CN"/>
        </w:rPr>
        <w:t>：利津县和农高区</w:t>
      </w:r>
      <w:r>
        <w:rPr>
          <w:rFonts w:hint="eastAsia" w:ascii="仿宋_GB2312" w:hAnsi="仿宋_GB2312" w:eastAsia="仿宋_GB2312" w:cs="仿宋_GB2312"/>
          <w:color w:val="000000"/>
          <w:sz w:val="32"/>
          <w:szCs w:val="32"/>
        </w:rPr>
        <w:t>中央、省级</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市级</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县级财政补贴</w:t>
      </w:r>
      <w:r>
        <w:rPr>
          <w:rFonts w:hint="eastAsia" w:ascii="仿宋_GB2312" w:hAnsi="仿宋_GB2312" w:eastAsia="仿宋_GB2312" w:cs="仿宋_GB2312"/>
          <w:color w:val="000000"/>
          <w:sz w:val="32"/>
          <w:szCs w:val="32"/>
          <w:lang w:eastAsia="zh-CN"/>
        </w:rPr>
        <w:t>比例分别为</w:t>
      </w:r>
      <w:r>
        <w:rPr>
          <w:rFonts w:hint="eastAsia" w:ascii="仿宋_GB2312" w:hAnsi="仿宋_GB2312" w:eastAsia="仿宋_GB2312" w:cs="仿宋_GB2312"/>
          <w:color w:val="000000"/>
          <w:sz w:val="32"/>
          <w:szCs w:val="32"/>
          <w:lang w:val="en-US" w:eastAsia="zh-CN"/>
        </w:rPr>
        <w:t>40%、20%、4%、16%；其他县区</w:t>
      </w:r>
      <w:r>
        <w:rPr>
          <w:rFonts w:hint="eastAsia" w:ascii="仿宋_GB2312" w:hAnsi="仿宋_GB2312" w:eastAsia="仿宋_GB2312" w:cs="仿宋_GB2312"/>
          <w:color w:val="000000"/>
          <w:sz w:val="32"/>
          <w:szCs w:val="32"/>
        </w:rPr>
        <w:t>中央、省级</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市级</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县级财政补贴</w:t>
      </w:r>
      <w:r>
        <w:rPr>
          <w:rFonts w:hint="eastAsia" w:ascii="仿宋_GB2312" w:hAnsi="仿宋_GB2312" w:eastAsia="仿宋_GB2312" w:cs="仿宋_GB2312"/>
          <w:color w:val="000000"/>
          <w:sz w:val="32"/>
          <w:szCs w:val="32"/>
          <w:lang w:eastAsia="zh-CN"/>
        </w:rPr>
        <w:t>比例分别为</w:t>
      </w:r>
      <w:r>
        <w:rPr>
          <w:rFonts w:hint="eastAsia" w:ascii="仿宋_GB2312" w:hAnsi="仿宋_GB2312" w:eastAsia="仿宋_GB2312" w:cs="仿宋_GB2312"/>
          <w:color w:val="000000"/>
          <w:sz w:val="32"/>
          <w:szCs w:val="32"/>
          <w:lang w:val="en-US" w:eastAsia="zh-CN"/>
        </w:rPr>
        <w:t>40%、15%、5%、20%</w:t>
      </w:r>
      <w:r>
        <w:rPr>
          <w:rFonts w:hint="eastAsia" w:ascii="仿宋_GB2312" w:hAnsi="仿宋_GB2312" w:eastAsia="仿宋_GB2312" w:cs="仿宋_GB2312"/>
          <w:color w:val="000000"/>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黑体" w:hAnsi="黑体" w:eastAsia="黑体" w:cs="黑体"/>
          <w:color w:val="auto"/>
          <w:kern w:val="2"/>
          <w:sz w:val="32"/>
          <w:szCs w:val="32"/>
          <w:lang w:val="en-US" w:eastAsia="zh-CN" w:bidi="ar-SA"/>
        </w:rPr>
      </w:pPr>
      <w:r>
        <w:rPr>
          <w:rFonts w:hint="eastAsia" w:ascii="楷体_GB2312" w:hAnsi="Times New Roman" w:eastAsia="楷体_GB2312" w:cs="Times New Roman"/>
          <w:b w:val="0"/>
          <w:bCs/>
          <w:color w:val="FF0000"/>
          <w:sz w:val="32"/>
          <w:szCs w:val="32"/>
          <w:lang w:val="en-US" w:eastAsia="zh-CN"/>
        </w:rPr>
        <w:t xml:space="preserve"> </w:t>
      </w:r>
      <w:r>
        <w:rPr>
          <w:rFonts w:hint="eastAsia" w:ascii="黑体" w:hAnsi="黑体" w:eastAsia="黑体" w:cs="黑体"/>
          <w:b w:val="0"/>
          <w:bCs/>
          <w:color w:val="000000"/>
          <w:sz w:val="32"/>
          <w:szCs w:val="32"/>
          <w:lang w:val="en-US" w:eastAsia="zh-CN"/>
        </w:rPr>
        <w:t>四</w:t>
      </w:r>
      <w:r>
        <w:rPr>
          <w:rFonts w:hint="eastAsia" w:ascii="黑体" w:hAnsi="黑体" w:eastAsia="黑体" w:cs="黑体"/>
          <w:color w:val="auto"/>
          <w:kern w:val="2"/>
          <w:sz w:val="32"/>
          <w:szCs w:val="32"/>
          <w:lang w:val="en-US" w:eastAsia="zh-CN" w:bidi="ar-SA"/>
        </w:rPr>
        <w:t>、申报办理流程</w:t>
      </w:r>
    </w:p>
    <w:p>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ascii="楷体_GB2312" w:eastAsia="楷体_GB2312"/>
          <w:b/>
          <w:sz w:val="32"/>
          <w:szCs w:val="32"/>
        </w:rPr>
      </w:pPr>
      <w:r>
        <w:rPr>
          <w:rFonts w:hint="eastAsia" w:ascii="楷体_GB2312" w:eastAsia="楷体_GB2312"/>
          <w:b w:val="0"/>
          <w:bCs/>
          <w:sz w:val="32"/>
          <w:szCs w:val="32"/>
        </w:rPr>
        <w:t>（</w:t>
      </w:r>
      <w:r>
        <w:rPr>
          <w:rFonts w:hint="eastAsia" w:ascii="楷体_GB2312" w:eastAsia="楷体_GB2312"/>
          <w:b w:val="0"/>
          <w:bCs/>
          <w:sz w:val="32"/>
          <w:szCs w:val="32"/>
          <w:lang w:eastAsia="zh-CN"/>
        </w:rPr>
        <w:t>一</w:t>
      </w:r>
      <w:r>
        <w:rPr>
          <w:rFonts w:hint="eastAsia" w:ascii="楷体_GB2312" w:eastAsia="楷体_GB2312"/>
          <w:b w:val="0"/>
          <w:bCs/>
          <w:sz w:val="32"/>
          <w:szCs w:val="32"/>
        </w:rPr>
        <w:t>）签约、保险期限及理赔时间</w:t>
      </w:r>
    </w:p>
    <w:p>
      <w:pPr>
        <w:keepNext w:val="0"/>
        <w:keepLines w:val="0"/>
        <w:pageBreakBefore w:val="0"/>
        <w:kinsoku/>
        <w:wordWrap/>
        <w:overflowPunct/>
        <w:topLinePunct w:val="0"/>
        <w:autoSpaceDE/>
        <w:autoSpaceDN/>
        <w:bidi w:val="0"/>
        <w:adjustRightInd/>
        <w:snapToGrid/>
        <w:spacing w:line="59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kern w:val="0"/>
          <w:sz w:val="32"/>
          <w:szCs w:val="32"/>
        </w:rPr>
        <w:t>1、签约及保险期限</w:t>
      </w:r>
      <w:r>
        <w:rPr>
          <w:rFonts w:hint="eastAsia" w:ascii="仿宋_GB2312" w:hAnsi="仿宋_GB2312" w:eastAsia="仿宋_GB2312" w:cs="仿宋_GB2312"/>
          <w:b w:val="0"/>
          <w:bCs/>
          <w:kern w:val="0"/>
          <w:sz w:val="32"/>
          <w:szCs w:val="32"/>
          <w:lang w:eastAsia="zh-CN"/>
        </w:rPr>
        <w:t>。</w:t>
      </w:r>
      <w:r>
        <w:rPr>
          <w:rFonts w:hint="eastAsia" w:ascii="仿宋_GB2312" w:hAnsi="仿宋_GB2312" w:eastAsia="仿宋_GB2312" w:cs="仿宋_GB2312"/>
          <w:b w:val="0"/>
          <w:bCs/>
          <w:sz w:val="32"/>
          <w:szCs w:val="32"/>
        </w:rPr>
        <w:t xml:space="preserve"> 奶牛养殖保险。</w:t>
      </w:r>
      <w:r>
        <w:rPr>
          <w:rFonts w:hint="eastAsia" w:ascii="仿宋_GB2312" w:hAnsi="Times New Roman" w:eastAsia="仿宋_GB2312" w:cs="Times New Roman"/>
          <w:sz w:val="32"/>
          <w:szCs w:val="32"/>
        </w:rPr>
        <w:t>保险期限为一年，具体保险期间由投保人与保险人协商确定，以保险单载明的起讫时间为准。期满续保另办手续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val="0"/>
          <w:bCs/>
          <w:sz w:val="32"/>
          <w:szCs w:val="32"/>
        </w:rPr>
        <w:t>育肥猪养殖保险。</w:t>
      </w:r>
      <w:r>
        <w:rPr>
          <w:rFonts w:hint="eastAsia" w:ascii="仿宋_GB2312" w:hAnsi="仿宋_GB2312" w:eastAsia="仿宋_GB2312" w:cs="仿宋_GB2312"/>
          <w:sz w:val="32"/>
          <w:szCs w:val="32"/>
        </w:rPr>
        <w:t>保险期间通常为一个育肥周期，自保险育肥猪入栏开始之日起至保险育肥猪出栏之日止；也可以根据年出栏量，由投保人与保险人约定保险期间。具体保险期间，以保险单载明的起讫时间为准，保险期间最长不超过四个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val="0"/>
          <w:bCs/>
          <w:sz w:val="32"/>
          <w:szCs w:val="32"/>
        </w:rPr>
        <w:t>能繁母猪养殖保险。</w:t>
      </w:r>
      <w:r>
        <w:rPr>
          <w:rFonts w:hint="eastAsia" w:ascii="仿宋_GB2312" w:hAnsi="仿宋_GB2312" w:eastAsia="仿宋_GB2312" w:cs="仿宋_GB2312"/>
          <w:sz w:val="32"/>
          <w:szCs w:val="32"/>
        </w:rPr>
        <w:t>保险期间为一年，以保险单载明的起讫时间为准。</w:t>
      </w:r>
    </w:p>
    <w:p>
      <w:pPr>
        <w:keepNext w:val="0"/>
        <w:keepLines w:val="0"/>
        <w:pageBreakBefore w:val="0"/>
        <w:kinsoku/>
        <w:wordWrap/>
        <w:overflowPunct/>
        <w:topLinePunct w:val="0"/>
        <w:autoSpaceDE/>
        <w:autoSpaceDN/>
        <w:bidi w:val="0"/>
        <w:adjustRightInd/>
        <w:snapToGrid/>
        <w:spacing w:line="59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sz w:val="32"/>
          <w:szCs w:val="32"/>
        </w:rPr>
        <w:t>2、理赔时间。</w:t>
      </w:r>
      <w:r>
        <w:rPr>
          <w:rFonts w:hint="eastAsia" w:ascii="仿宋_GB2312" w:hAnsi="仿宋_GB2312" w:eastAsia="仿宋_GB2312" w:cs="仿宋_GB2312"/>
          <w:sz w:val="32"/>
          <w:szCs w:val="32"/>
        </w:rPr>
        <w:t>保险人收到被保险人的赔偿保险金的请求后，应当及时作出是否属于保险责任的核定。保险人应当将核定结果通知被保险人；对属于保险责任的，在与被保险人达成赔偿保险金的协议后十日内，履行赔偿保险金义务。保险合同对赔偿保险金的期限有约定的，保险人应当按照约定履行赔偿保险金的义务。保险人依照前款约定作出核定后，对不属于保险责任的，应当自作出核定之日起三日内向被保险人发出拒绝赔偿保险金通知书，并说明理由。</w:t>
      </w:r>
    </w:p>
    <w:p>
      <w:pPr>
        <w:keepNext w:val="0"/>
        <w:keepLines w:val="0"/>
        <w:pageBreakBefore w:val="0"/>
        <w:widowControl/>
        <w:kinsoku/>
        <w:wordWrap/>
        <w:overflowPunct/>
        <w:topLinePunct w:val="0"/>
        <w:autoSpaceDE/>
        <w:autoSpaceDN/>
        <w:bidi w:val="0"/>
        <w:adjustRightInd/>
        <w:snapToGrid/>
        <w:spacing w:line="590" w:lineRule="exact"/>
        <w:ind w:firstLine="640" w:firstLineChars="200"/>
        <w:textAlignment w:val="auto"/>
        <w:rPr>
          <w:rFonts w:hint="eastAsia" w:ascii="楷体_GB2312" w:hAnsi="Arial" w:eastAsia="楷体_GB2312" w:cs="Arial"/>
          <w:b w:val="0"/>
          <w:bCs/>
          <w:kern w:val="0"/>
          <w:sz w:val="32"/>
          <w:szCs w:val="32"/>
          <w:lang w:eastAsia="zh-CN"/>
        </w:rPr>
      </w:pPr>
      <w:r>
        <w:rPr>
          <w:rFonts w:hint="eastAsia" w:ascii="楷体_GB2312" w:hAnsi="Arial" w:eastAsia="楷体_GB2312" w:cs="Arial"/>
          <w:b w:val="0"/>
          <w:bCs/>
          <w:kern w:val="0"/>
          <w:sz w:val="32"/>
          <w:szCs w:val="32"/>
          <w:lang w:eastAsia="zh-CN"/>
        </w:rPr>
        <w:t>（二）政策性保险承保机构</w:t>
      </w:r>
    </w:p>
    <w:p>
      <w:pPr>
        <w:pageBreakBefore w:val="0"/>
        <w:kinsoku/>
        <w:wordWrap/>
        <w:overflowPunct/>
        <w:topLinePunct w:val="0"/>
        <w:bidi w:val="0"/>
        <w:spacing w:line="590" w:lineRule="exact"/>
        <w:rPr>
          <w:rFonts w:ascii="Times New Roman" w:hAnsi="Times New Roman" w:cs="Times New Roman"/>
          <w:color w:val="000000" w:themeColor="text1"/>
          <w:szCs w:val="32"/>
          <w14:textFill>
            <w14:solidFill>
              <w14:schemeClr w14:val="tx1"/>
            </w14:solidFill>
          </w14:textFill>
        </w:rPr>
      </w:pPr>
      <w:r>
        <w:rPr>
          <w:rFonts w:hint="eastAsia" w:ascii="仿宋_GB2312" w:hAnsi="宋体" w:eastAsia="仿宋_GB2312"/>
          <w:b w:val="0"/>
          <w:bCs/>
          <w:sz w:val="32"/>
          <w:szCs w:val="32"/>
          <w:lang w:val="en-US" w:eastAsia="zh-CN"/>
        </w:rPr>
        <w:t>2021年7月1日，东营市财政局 东营市发展和改革委员会 东营市自然资源和规划局 东营市农业农村局 东营市现代畜牧业发展服务中心5部门联合印发了《关于公布东营市政策性农业保险承保机构市级遴选结果的通知》</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000000"/>
          <w:kern w:val="0"/>
          <w:sz w:val="32"/>
          <w:szCs w:val="32"/>
        </w:rPr>
        <w:t>东</w:t>
      </w:r>
      <w:r>
        <w:rPr>
          <w:rFonts w:hint="eastAsia" w:ascii="仿宋_GB2312" w:hAnsi="仿宋_GB2312" w:eastAsia="仿宋_GB2312" w:cs="仿宋_GB2312"/>
          <w:color w:val="000000"/>
          <w:kern w:val="0"/>
          <w:sz w:val="32"/>
          <w:szCs w:val="32"/>
          <w:lang w:eastAsia="zh-CN"/>
        </w:rPr>
        <w:t>财金</w:t>
      </w:r>
      <w:r>
        <w:rPr>
          <w:rFonts w:hint="eastAsia" w:ascii="仿宋_GB2312" w:hAnsi="仿宋_GB2312" w:eastAsia="仿宋_GB2312" w:cs="仿宋_GB2312"/>
          <w:color w:val="000000"/>
          <w:kern w:val="0"/>
          <w:sz w:val="32"/>
          <w:szCs w:val="32"/>
        </w:rPr>
        <w:t>〔20</w:t>
      </w:r>
      <w:r>
        <w:rPr>
          <w:rFonts w:hint="eastAsia" w:ascii="仿宋_GB2312" w:hAnsi="仿宋_GB2312" w:eastAsia="仿宋_GB2312" w:cs="仿宋_GB2312"/>
          <w:color w:val="000000"/>
          <w:kern w:val="0"/>
          <w:sz w:val="32"/>
          <w:szCs w:val="32"/>
          <w:lang w:val="en-US" w:eastAsia="zh-CN"/>
        </w:rPr>
        <w:t>21</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val="en-US" w:eastAsia="zh-CN"/>
        </w:rPr>
        <w:t>12</w:t>
      </w:r>
      <w:r>
        <w:rPr>
          <w:rFonts w:hint="eastAsia" w:ascii="仿宋_GB2312" w:hAnsi="仿宋_GB2312" w:eastAsia="仿宋_GB2312" w:cs="仿宋_GB2312"/>
          <w:color w:val="000000"/>
          <w:kern w:val="0"/>
          <w:sz w:val="32"/>
          <w:szCs w:val="32"/>
        </w:rPr>
        <w:t>号</w:t>
      </w:r>
      <w:r>
        <w:rPr>
          <w:rFonts w:hint="eastAsia" w:ascii="仿宋_GB2312" w:hAnsi="仿宋_GB2312" w:eastAsia="仿宋_GB2312" w:cs="仿宋_GB2312"/>
          <w:sz w:val="32"/>
          <w:szCs w:val="32"/>
          <w:lang w:val="en-US" w:eastAsia="zh-CN"/>
        </w:rPr>
        <w:t>），</w:t>
      </w:r>
      <w:r>
        <w:rPr>
          <w:rFonts w:hint="eastAsia" w:ascii="仿宋_GB2312" w:hAnsi="宋体" w:eastAsia="仿宋_GB2312"/>
          <w:b w:val="0"/>
          <w:bCs/>
          <w:sz w:val="32"/>
          <w:szCs w:val="32"/>
          <w:lang w:val="en-US" w:eastAsia="zh-CN"/>
        </w:rPr>
        <w:t>我市通过公开遴选，确定畜牧业政策性保险承包机构为中华联合、中国人保财险、中国平安财险、中国人寿、中国太平洋、安华6家保险机构，有限期为2021年1月1日至2023年12月31日)。</w:t>
      </w:r>
    </w:p>
    <w:p>
      <w:pPr>
        <w:pageBreakBefore w:val="0"/>
        <w:kinsoku/>
        <w:wordWrap/>
        <w:overflowPunct/>
        <w:topLinePunct w:val="0"/>
        <w:bidi w:val="0"/>
        <w:spacing w:line="590" w:lineRule="exact"/>
        <w:rPr>
          <w:rFonts w:ascii="Times New Roman" w:hAnsi="Times New Roman" w:cs="Times New Roman"/>
          <w:color w:val="000000" w:themeColor="text1"/>
          <w:szCs w:val="32"/>
          <w14:textFill>
            <w14:solidFill>
              <w14:schemeClr w14:val="tx1"/>
            </w14:solidFill>
          </w14:textFill>
        </w:rPr>
      </w:pPr>
    </w:p>
    <w:p>
      <w:pPr>
        <w:pageBreakBefore w:val="0"/>
        <w:kinsoku/>
        <w:wordWrap/>
        <w:overflowPunct/>
        <w:topLinePunct w:val="0"/>
        <w:bidi w:val="0"/>
        <w:adjustRightInd w:val="0"/>
        <w:snapToGrid w:val="0"/>
        <w:spacing w:line="590" w:lineRule="exact"/>
        <w:ind w:firstLine="640" w:firstLineChars="200"/>
        <w:rPr>
          <w:rFonts w:hint="default" w:ascii="CESI楷体-GB2312" w:hAnsi="CESI楷体-GB2312" w:eastAsia="CESI楷体-GB2312" w:cs="CESI楷体-GB2312"/>
          <w:color w:val="000000"/>
          <w:kern w:val="2"/>
          <w:sz w:val="32"/>
          <w:szCs w:val="32"/>
          <w:lang w:val="en-US" w:eastAsia="zh-CN" w:bidi="ar-SA"/>
        </w:rPr>
      </w:pPr>
      <w:r>
        <w:rPr>
          <w:rFonts w:hint="eastAsia" w:ascii="CESI楷体-GB2312" w:hAnsi="CESI楷体-GB2312" w:eastAsia="CESI楷体-GB2312" w:cs="CESI楷体-GB2312"/>
          <w:color w:val="000000"/>
          <w:kern w:val="2"/>
          <w:sz w:val="32"/>
          <w:szCs w:val="32"/>
          <w:lang w:val="en-US" w:eastAsia="zh-CN" w:bidi="ar-SA"/>
        </w:rPr>
        <w:t>主办单位：市现代畜牧业发展服务中心  联系方式：徐秀锋  8306943</w:t>
      </w:r>
    </w:p>
    <w:p>
      <w:pPr>
        <w:pageBreakBefore w:val="0"/>
        <w:kinsoku/>
        <w:wordWrap/>
        <w:overflowPunct/>
        <w:topLinePunct w:val="0"/>
        <w:bidi w:val="0"/>
        <w:spacing w:line="590" w:lineRule="exact"/>
        <w:rPr>
          <w:rFonts w:ascii="Times New Roman" w:hAnsi="Times New Roman" w:cs="Times New Roman"/>
          <w:color w:val="000000" w:themeColor="text1"/>
          <w:szCs w:val="32"/>
          <w:highlight w:val="none"/>
          <w14:textFill>
            <w14:solidFill>
              <w14:schemeClr w14:val="tx1"/>
            </w14:solidFill>
          </w14:textFill>
        </w:rPr>
      </w:pPr>
    </w:p>
    <w:p>
      <w:pPr>
        <w:pageBreakBefore w:val="0"/>
        <w:kinsoku/>
        <w:wordWrap/>
        <w:overflowPunct/>
        <w:topLinePunct w:val="0"/>
        <w:bidi w:val="0"/>
        <w:spacing w:line="590" w:lineRule="exact"/>
        <w:rPr>
          <w:rFonts w:ascii="Times New Roman" w:hAnsi="Times New Roman" w:cs="Times New Roman"/>
          <w:color w:val="000000" w:themeColor="text1"/>
          <w:szCs w:val="32"/>
          <w14:textFill>
            <w14:solidFill>
              <w14:schemeClr w14:val="tx1"/>
            </w14:solidFill>
          </w14:textFill>
        </w:rPr>
      </w:pPr>
    </w:p>
    <w:p>
      <w:pPr>
        <w:pageBreakBefore w:val="0"/>
        <w:kinsoku/>
        <w:wordWrap/>
        <w:overflowPunct/>
        <w:topLinePunct w:val="0"/>
        <w:bidi w:val="0"/>
        <w:spacing w:line="590" w:lineRule="exact"/>
        <w:rPr>
          <w:rFonts w:ascii="Times New Roman" w:hAnsi="Times New Roman" w:cs="Times New Roman"/>
          <w:color w:val="000000" w:themeColor="text1"/>
          <w:szCs w:val="32"/>
          <w14:textFill>
            <w14:solidFill>
              <w14:schemeClr w14:val="tx1"/>
            </w14:solidFill>
          </w14:textFill>
        </w:rPr>
      </w:pPr>
    </w:p>
    <w:p>
      <w:pPr>
        <w:pageBreakBefore w:val="0"/>
        <w:kinsoku/>
        <w:wordWrap/>
        <w:overflowPunct/>
        <w:topLinePunct w:val="0"/>
        <w:bidi w:val="0"/>
        <w:spacing w:line="590" w:lineRule="exact"/>
        <w:rPr>
          <w:rFonts w:ascii="Times New Roman" w:hAnsi="Times New Roman" w:cs="Times New Roman"/>
          <w:color w:val="000000" w:themeColor="text1"/>
          <w:szCs w:val="32"/>
          <w14:textFill>
            <w14:solidFill>
              <w14:schemeClr w14:val="tx1"/>
            </w14:solidFill>
          </w14:textFill>
        </w:rPr>
      </w:pPr>
    </w:p>
    <w:p>
      <w:pPr>
        <w:pageBreakBefore w:val="0"/>
        <w:kinsoku/>
        <w:wordWrap/>
        <w:overflowPunct/>
        <w:topLinePunct w:val="0"/>
        <w:bidi w:val="0"/>
        <w:spacing w:line="590" w:lineRule="exact"/>
        <w:rPr>
          <w:rFonts w:ascii="Times New Roman" w:hAnsi="Times New Roman" w:cs="Times New Roman"/>
          <w:color w:val="000000" w:themeColor="text1"/>
          <w:szCs w:val="32"/>
          <w14:textFill>
            <w14:solidFill>
              <w14:schemeClr w14:val="tx1"/>
            </w14:solidFill>
          </w14:textFill>
        </w:rPr>
      </w:pPr>
    </w:p>
    <w:p>
      <w:pPr>
        <w:pageBreakBefore w:val="0"/>
        <w:kinsoku/>
        <w:wordWrap/>
        <w:overflowPunct/>
        <w:topLinePunct w:val="0"/>
        <w:bidi w:val="0"/>
        <w:spacing w:line="590" w:lineRule="exact"/>
        <w:rPr>
          <w:rFonts w:ascii="Times New Roman" w:hAnsi="Times New Roman" w:cs="Times New Roman"/>
          <w:color w:val="000000" w:themeColor="text1"/>
          <w:szCs w:val="32"/>
          <w14:textFill>
            <w14:solidFill>
              <w14:schemeClr w14:val="tx1"/>
            </w14:solidFill>
          </w14:textFill>
        </w:rPr>
      </w:pPr>
      <w:r>
        <w:rPr>
          <w:rFonts w:ascii="Times New Roman" w:hAnsi="Times New Roman" w:cs="Times New Roman"/>
          <w:color w:val="000000" w:themeColor="text1"/>
          <w:szCs w:val="32"/>
          <w14:textFill>
            <w14:solidFill>
              <w14:schemeClr w14:val="tx1"/>
            </w14:solidFill>
          </w14:textFill>
        </w:rPr>
        <w:br w:type="page"/>
      </w:r>
    </w:p>
    <w:bookmarkEnd w:id="17"/>
    <w:p>
      <w:pPr>
        <w:pStyle w:val="20"/>
        <w:pageBreakBefore w:val="0"/>
        <w:kinsoku/>
        <w:wordWrap/>
        <w:overflowPunct/>
        <w:topLinePunct w:val="0"/>
        <w:bidi w:val="0"/>
        <w:spacing w:before="0" w:after="0" w:line="590" w:lineRule="exact"/>
        <w:ind w:firstLine="880"/>
        <w:outlineLvl w:val="9"/>
        <w:rPr>
          <w:rFonts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rPr>
          <w:rFonts w:ascii="方正小标宋简体" w:eastAsia="方正小标宋简体"/>
          <w:b w:val="0"/>
          <w:sz w:val="44"/>
          <w:szCs w:val="44"/>
        </w:rPr>
      </w:pPr>
      <w:bookmarkStart w:id="36" w:name="_Toc14834"/>
      <w:r>
        <w:rPr>
          <w:rFonts w:hint="eastAsia" w:ascii="方正小标宋简体" w:eastAsia="方正小标宋简体"/>
          <w:b w:val="0"/>
          <w:sz w:val="44"/>
          <w:szCs w:val="44"/>
        </w:rPr>
        <w:t>第</w:t>
      </w:r>
      <w:r>
        <w:rPr>
          <w:rFonts w:hint="eastAsia" w:ascii="方正小标宋简体" w:eastAsia="方正小标宋简体"/>
          <w:b w:val="0"/>
          <w:sz w:val="44"/>
          <w:szCs w:val="44"/>
          <w:lang w:eastAsia="zh-CN"/>
        </w:rPr>
        <w:t>四</w:t>
      </w:r>
      <w:r>
        <w:rPr>
          <w:rFonts w:hint="eastAsia" w:ascii="方正小标宋简体" w:eastAsia="方正小标宋简体"/>
          <w:b w:val="0"/>
          <w:sz w:val="44"/>
          <w:szCs w:val="44"/>
        </w:rPr>
        <w:t>篇：</w:t>
      </w:r>
      <w:r>
        <w:rPr>
          <w:rFonts w:hint="eastAsia" w:ascii="方正小标宋简体" w:eastAsia="方正小标宋简体"/>
          <w:b w:val="0"/>
          <w:sz w:val="44"/>
          <w:szCs w:val="44"/>
          <w:lang w:eastAsia="zh-CN"/>
        </w:rPr>
        <w:t>担保</w:t>
      </w:r>
      <w:r>
        <w:rPr>
          <w:rFonts w:hint="eastAsia" w:ascii="方正小标宋简体" w:eastAsia="方正小标宋简体"/>
          <w:b w:val="0"/>
          <w:sz w:val="44"/>
          <w:szCs w:val="44"/>
        </w:rPr>
        <w:t>篇</w:t>
      </w:r>
      <w:bookmarkEnd w:id="36"/>
    </w:p>
    <w:p>
      <w:pPr>
        <w:pageBreakBefore w:val="0"/>
        <w:kinsoku/>
        <w:wordWrap/>
        <w:overflowPunct/>
        <w:topLinePunct w:val="0"/>
        <w:bidi w:val="0"/>
        <w:spacing w:line="590" w:lineRule="exact"/>
      </w:pPr>
    </w:p>
    <w:p>
      <w:pPr>
        <w:pStyle w:val="20"/>
        <w:pageBreakBefore w:val="0"/>
        <w:kinsoku/>
        <w:wordWrap/>
        <w:overflowPunct/>
        <w:topLinePunct w:val="0"/>
        <w:bidi w:val="0"/>
        <w:spacing w:before="0" w:after="0" w:line="590" w:lineRule="exact"/>
        <w:ind w:firstLine="0" w:firstLineChars="0"/>
        <w:outlineLvl w:val="0"/>
        <w:rPr>
          <w:rFonts w:hint="eastAsia" w:ascii="方正小标宋简体" w:eastAsia="方正小标宋简体"/>
          <w:b w:val="0"/>
          <w:sz w:val="44"/>
          <w:szCs w:val="44"/>
        </w:rPr>
      </w:pPr>
      <w:bookmarkStart w:id="37" w:name="_Toc5028"/>
    </w:p>
    <w:p>
      <w:pPr>
        <w:pStyle w:val="20"/>
        <w:pageBreakBefore w:val="0"/>
        <w:kinsoku/>
        <w:wordWrap/>
        <w:overflowPunct/>
        <w:topLinePunct w:val="0"/>
        <w:bidi w:val="0"/>
        <w:spacing w:before="0" w:after="0" w:line="590" w:lineRule="exact"/>
        <w:ind w:firstLine="0" w:firstLineChars="0"/>
        <w:outlineLvl w:val="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outlineLvl w:val="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outlineLvl w:val="0"/>
        <w:rPr>
          <w:rFonts w:hint="eastAsia" w:ascii="方正小标宋简体" w:eastAsia="方正小标宋简体"/>
          <w:b w:val="0"/>
          <w:sz w:val="44"/>
          <w:szCs w:val="44"/>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highlight w:val="yellow"/>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highlight w:val="yellow"/>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highlight w:val="yellow"/>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1"/>
        <w:rPr>
          <w:rFonts w:hint="eastAsia" w:ascii="方正小标宋简体" w:hAnsi="方正小标宋简体" w:eastAsia="方正小标宋简体" w:cs="方正小标宋简体"/>
          <w:sz w:val="36"/>
          <w:szCs w:val="36"/>
        </w:rPr>
      </w:pPr>
      <w:bookmarkStart w:id="38" w:name="_Toc3094"/>
      <w:r>
        <w:rPr>
          <w:rFonts w:hint="eastAsia" w:ascii="方正小标宋简体" w:hAnsi="方正小标宋简体" w:eastAsia="方正小标宋简体" w:cs="方正小标宋简体"/>
          <w:sz w:val="36"/>
          <w:szCs w:val="36"/>
        </w:rPr>
        <w:t>政府性融资担保机构支持小微</w:t>
      </w:r>
      <w:bookmarkEnd w:id="38"/>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1"/>
        <w:rPr>
          <w:rFonts w:hint="default" w:ascii="方正小标宋简体" w:hAnsi="方正小标宋简体" w:eastAsia="方正小标宋简体" w:cs="方正小标宋简体"/>
          <w:sz w:val="44"/>
          <w:szCs w:val="44"/>
          <w:lang w:val="en-US" w:eastAsia="zh-CN"/>
        </w:rPr>
      </w:pPr>
      <w:bookmarkStart w:id="39" w:name="_Toc24896"/>
      <w:bookmarkStart w:id="40" w:name="_Toc22571"/>
      <w:r>
        <w:rPr>
          <w:rFonts w:hint="eastAsia" w:ascii="方正小标宋简体" w:hAnsi="方正小标宋简体" w:eastAsia="方正小标宋简体" w:cs="方正小标宋简体"/>
          <w:sz w:val="36"/>
          <w:szCs w:val="36"/>
        </w:rPr>
        <w:t>和“三农”</w:t>
      </w:r>
      <w:r>
        <w:rPr>
          <w:rFonts w:hint="eastAsia" w:ascii="方正小标宋简体" w:hAnsi="方正小标宋简体" w:eastAsia="方正小标宋简体" w:cs="方正小标宋简体"/>
          <w:sz w:val="36"/>
          <w:szCs w:val="36"/>
          <w:lang w:val="en-US" w:eastAsia="zh-CN"/>
        </w:rPr>
        <w:t>融资的“见贷即担”政策</w:t>
      </w:r>
      <w:bookmarkEnd w:id="39"/>
      <w:bookmarkEnd w:id="40"/>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rPr>
          <w:rFonts w:hint="eastAsia" w:ascii="CESI黑体-GB2312" w:hAnsi="CESI黑体-GB2312" w:eastAsia="CESI黑体-GB2312" w:cs="CESI黑体-GB2312"/>
          <w:sz w:val="32"/>
          <w:szCs w:val="32"/>
          <w:lang w:val="en"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一、服务对象和范围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黑体" w:cs="Times New Roman"/>
          <w:sz w:val="32"/>
          <w:szCs w:val="32"/>
          <w:lang w:val="en-US" w:eastAsia="zh-CN"/>
        </w:rPr>
      </w:pPr>
      <w:r>
        <w:rPr>
          <w:rFonts w:hint="eastAsia" w:ascii="仿宋_GB2312" w:hAnsi="仿宋_GB2312" w:eastAsia="仿宋_GB2312" w:cs="仿宋_GB2312"/>
          <w:color w:val="auto"/>
          <w:kern w:val="2"/>
          <w:sz w:val="32"/>
          <w:szCs w:val="32"/>
          <w:lang w:val="en-US" w:eastAsia="zh-CN" w:bidi="ar-SA"/>
        </w:rPr>
        <w:t>《关于政府性融资担保体系支持小微、“三农”融资的实施意见》（东金监发〔2022〕2 号）所规定的各类小微企业、“三农”、创业创新等市场主体、符合条件的战略性新兴产业项目以及省委、省政府确定的重大战略项目。其中担保对象为企业法人的，登记注册地及实际经营地应在东营市境内；担保对象为自然人的，其主要经营场所应在东营市境内。</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二、概念解释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等线" w:eastAsia="仿宋_GB2312" w:cs="Times New Roman"/>
          <w:b w:val="0"/>
          <w:bCs/>
          <w:sz w:val="32"/>
          <w:szCs w:val="32"/>
          <w:lang w:val="en-US" w:eastAsia="zh-CN"/>
        </w:rPr>
      </w:pPr>
      <w:bookmarkStart w:id="41" w:name="_Hlk55724441"/>
      <w:r>
        <w:rPr>
          <w:rFonts w:hint="eastAsia" w:ascii="仿宋_GB2312" w:hAnsi="等线" w:eastAsia="仿宋_GB2312" w:cs="Times New Roman"/>
          <w:b w:val="0"/>
          <w:bCs/>
          <w:sz w:val="32"/>
          <w:szCs w:val="32"/>
          <w:lang w:val="en-US" w:eastAsia="zh-CN"/>
        </w:rPr>
        <w:t>符合条件的小微企业、“三农”、创业创新市场主体</w:t>
      </w:r>
      <w:bookmarkEnd w:id="41"/>
      <w:r>
        <w:rPr>
          <w:rFonts w:hint="eastAsia" w:ascii="仿宋_GB2312" w:hAnsi="等线" w:eastAsia="仿宋_GB2312" w:cs="Times New Roman"/>
          <w:b w:val="0"/>
          <w:bCs/>
          <w:sz w:val="32"/>
          <w:szCs w:val="32"/>
          <w:lang w:val="en-US" w:eastAsia="zh-CN"/>
        </w:rPr>
        <w:t>、战略性新兴产业等，通过国家监管部门批准的银行业金融机构进行融资时，在事先锁定担保代偿率上限、银行分担风险的前提下，针对符合条件的贷款业务，由银行机构按照银行授信评审有关要求和程序自主完成贷款授信审批并向承办政府性融资担保机构提出担保申请，由担保机构直接提供担保，担保机构不再进行尽职调查，不要求反担保措施。这一融资担保政策简称政府性融资担保机构支持小微、“三农”融资的“见贷即担”政策。</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三、政策名称</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等线" w:eastAsia="仿宋_GB2312" w:cs="Times New Roman"/>
          <w:b w:val="0"/>
          <w:bCs/>
          <w:color w:val="auto"/>
          <w:kern w:val="2"/>
          <w:sz w:val="32"/>
          <w:szCs w:val="32"/>
          <w:lang w:val="en-US" w:eastAsia="zh-CN" w:bidi="ar-SA"/>
        </w:rPr>
      </w:pPr>
      <w:r>
        <w:rPr>
          <w:rFonts w:hint="eastAsia"/>
          <w:lang w:val="en-US" w:eastAsia="zh-CN"/>
        </w:rPr>
        <w:t xml:space="preserve">    </w:t>
      </w:r>
      <w:r>
        <w:rPr>
          <w:rFonts w:hint="eastAsia" w:ascii="CESI仿宋-GB2312" w:hAnsi="CESI仿宋-GB2312" w:eastAsia="CESI仿宋-GB2312" w:cs="CESI仿宋-GB2312"/>
          <w:sz w:val="32"/>
          <w:szCs w:val="32"/>
          <w:lang w:val="en-US" w:eastAsia="zh-CN"/>
        </w:rPr>
        <w:t xml:space="preserve">   </w:t>
      </w:r>
      <w:r>
        <w:rPr>
          <w:rFonts w:hint="eastAsia" w:ascii="仿宋_GB2312" w:hAnsi="等线" w:eastAsia="仿宋_GB2312" w:cs="Times New Roman"/>
          <w:b w:val="0"/>
          <w:bCs/>
          <w:color w:val="auto"/>
          <w:kern w:val="2"/>
          <w:sz w:val="32"/>
          <w:szCs w:val="32"/>
          <w:lang w:val="en-US" w:eastAsia="zh-CN" w:bidi="ar-SA"/>
        </w:rPr>
        <w:t xml:space="preserve">2022年7月20日，市地方金融监管局会同市财政局、中国人民银行东营市中心支行、东营银保监分局等部门出台了《关于政府性融资担保体系支持小微、“三农”融资的实施意见》（东金监发〔2022〕2 号）。文件有效期，2022年7月20日至2025年7月19日。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lang w:eastAsia="zh-CN"/>
        </w:rPr>
      </w:pPr>
      <w:r>
        <w:rPr>
          <w:rFonts w:hint="eastAsia" w:ascii="Times New Roman" w:hAnsi="Times New Roman" w:eastAsia="黑体" w:cs="Times New Roman"/>
          <w:color w:val="auto"/>
          <w:kern w:val="2"/>
          <w:sz w:val="32"/>
          <w:szCs w:val="32"/>
          <w:lang w:val="en-US" w:eastAsia="zh-CN" w:bidi="ar-SA"/>
        </w:rPr>
        <w:t>四、政策措施内容及标准</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仿宋_GB2312" w:hAnsi="等线" w:eastAsia="仿宋_GB2312" w:cs="Times New Roman"/>
          <w:b w:val="0"/>
          <w:bCs/>
          <w:sz w:val="32"/>
          <w:szCs w:val="32"/>
          <w:lang w:val="en-US" w:eastAsia="zh-CN"/>
        </w:rPr>
        <w:t>申请贷款须符合银行的信贷条件，单户贷款本金1000万元(含)以下，贷款期限不超过2年。承办政府性融资担保公司按照全部贷款金额1%/年收取担保费。疫情期间，担保费、再担保费执行政府或相关部门政策标准，现行标准为减半收取。担保费为一次性收取，若因提前还贷或其他情形，提前解除担保责任或银行免除担保代偿责任，担保费、再担保费不予退还。</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五、申报办理流程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等线" w:eastAsia="仿宋_GB2312" w:cs="Times New Roman"/>
          <w:b w:val="0"/>
          <w:bCs/>
          <w:sz w:val="32"/>
          <w:szCs w:val="32"/>
          <w:lang w:val="en-US" w:eastAsia="zh-CN"/>
        </w:rPr>
      </w:pPr>
      <w:r>
        <w:rPr>
          <w:rFonts w:hint="eastAsia" w:ascii="仿宋_GB2312" w:hAnsi="等线" w:eastAsia="仿宋_GB2312" w:cs="Times New Roman"/>
          <w:b w:val="0"/>
          <w:bCs/>
          <w:sz w:val="32"/>
          <w:szCs w:val="32"/>
          <w:lang w:val="en-US" w:eastAsia="zh-CN"/>
        </w:rPr>
        <w:t>1.银行受理、项目审批。承办银行受理借款人提出的担保贷款申请，对符合条件的担保贷款项目，按照银行贷款评审要求和程序自主完成贷款审批。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等线" w:eastAsia="仿宋_GB2312" w:cs="Times New Roman"/>
          <w:b w:val="0"/>
          <w:bCs/>
          <w:sz w:val="32"/>
          <w:szCs w:val="32"/>
          <w:lang w:val="en-US" w:eastAsia="zh-CN"/>
        </w:rPr>
      </w:pPr>
      <w:r>
        <w:rPr>
          <w:rFonts w:hint="eastAsia" w:ascii="仿宋_GB2312" w:hAnsi="等线" w:eastAsia="仿宋_GB2312" w:cs="Times New Roman"/>
          <w:b w:val="0"/>
          <w:bCs/>
          <w:sz w:val="32"/>
          <w:szCs w:val="32"/>
          <w:lang w:val="en-US" w:eastAsia="zh-CN"/>
        </w:rPr>
        <w:t>2.担保申请、签订合同。银行向承办担保机构报送申请担保业务明细。根据业务明细，银行与借款人、承办担保机构签订贷款合同、保证合同或担保函，并受承办担保机构委托与借款人签订委托担保合同等法律文件。</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sz w:val="36"/>
          <w:szCs w:val="36"/>
          <w:highlight w:val="yellow"/>
          <w:lang w:val="en-US" w:eastAsia="zh-CN"/>
        </w:rPr>
      </w:pPr>
      <w:r>
        <w:rPr>
          <w:rFonts w:hint="eastAsia" w:ascii="仿宋_GB2312" w:hAnsi="等线" w:eastAsia="仿宋_GB2312" w:cs="Times New Roman"/>
          <w:b w:val="0"/>
          <w:bCs/>
          <w:sz w:val="32"/>
          <w:szCs w:val="32"/>
          <w:lang w:val="en-US" w:eastAsia="zh-CN"/>
        </w:rPr>
        <w:t>3.担保收费、放款。承办银行指导借款人将担保费汇入承办担保机构在银行设立的账户，并在确认完成担保收费后放款。承办担保机构完成担保收费后向借款人开具发票。</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CESI楷体-GB2312" w:hAnsi="CESI楷体-GB2312" w:eastAsia="CESI楷体-GB2312" w:cs="CESI楷体-GB2312"/>
          <w:b/>
          <w:bCs/>
          <w:color w:val="000000"/>
          <w:kern w:val="2"/>
          <w:sz w:val="32"/>
          <w:szCs w:val="32"/>
          <w:lang w:val="en-US" w:eastAsia="zh-CN" w:bidi="ar-SA"/>
        </w:rPr>
      </w:pPr>
      <w:r>
        <w:rPr>
          <w:rFonts w:hint="eastAsia" w:ascii="CESI楷体-GB2312" w:hAnsi="CESI楷体-GB2312" w:eastAsia="CESI楷体-GB2312" w:cs="CESI楷体-GB2312"/>
          <w:b/>
          <w:bCs/>
          <w:color w:val="000000"/>
          <w:kern w:val="2"/>
          <w:sz w:val="32"/>
          <w:szCs w:val="32"/>
          <w:lang w:val="en-US" w:eastAsia="zh-CN" w:bidi="ar-SA"/>
        </w:rPr>
        <w:t>主办单位及联系方式</w:t>
      </w:r>
    </w:p>
    <w:p>
      <w:pPr>
        <w:pStyle w:val="2"/>
        <w:keepNext w:val="0"/>
        <w:keepLines w:val="0"/>
        <w:pageBreakBefore w:val="0"/>
        <w:widowControl w:val="0"/>
        <w:kinsoku/>
        <w:wordWrap/>
        <w:overflowPunct/>
        <w:topLinePunct w:val="0"/>
        <w:autoSpaceDE/>
        <w:autoSpaceDN/>
        <w:bidi w:val="0"/>
        <w:adjustRightInd/>
        <w:snapToGrid/>
        <w:spacing w:after="157" w:afterLines="50" w:line="600" w:lineRule="exact"/>
        <w:jc w:val="center"/>
        <w:textAlignment w:val="auto"/>
        <w:rPr>
          <w:rFonts w:hint="eastAsia" w:ascii="黑体" w:hAnsi="宋体" w:eastAsia="黑体" w:cs="黑体"/>
          <w:i w:val="0"/>
          <w:iCs w:val="0"/>
          <w:color w:val="000000"/>
          <w:kern w:val="0"/>
          <w:sz w:val="32"/>
          <w:szCs w:val="32"/>
          <w:u w:val="none"/>
          <w:lang w:val="en-US" w:eastAsia="zh-CN" w:bidi="ar"/>
        </w:rPr>
      </w:pPr>
      <w:r>
        <w:rPr>
          <w:rFonts w:hint="eastAsia" w:ascii="黑体" w:hAnsi="宋体" w:eastAsia="黑体" w:cs="黑体"/>
          <w:i w:val="0"/>
          <w:iCs w:val="0"/>
          <w:color w:val="000000"/>
          <w:kern w:val="0"/>
          <w:sz w:val="32"/>
          <w:szCs w:val="32"/>
          <w:u w:val="none"/>
          <w:lang w:val="en-US" w:eastAsia="zh-CN" w:bidi="ar"/>
        </w:rPr>
        <w:t>“见贷即担”业务办理联系表</w:t>
      </w:r>
    </w:p>
    <w:tbl>
      <w:tblPr>
        <w:tblStyle w:val="2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8"/>
        <w:gridCol w:w="2992"/>
        <w:gridCol w:w="2645"/>
        <w:gridCol w:w="2067"/>
        <w:gridCol w:w="6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序号</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银行机构</w:t>
            </w: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联系部门（或联系人）</w:t>
            </w: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联系方式</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2"/>
                <w:sz w:val="24"/>
                <w:szCs w:val="24"/>
                <w:lang w:val="en-US" w:eastAsia="zh-CN" w:bidi="ar"/>
              </w:rPr>
              <w:t>中国工商银行东营分行</w:t>
            </w: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普惠金融事业部</w:t>
            </w: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8307670、7267759</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3" w:hRule="atLeast"/>
        </w:trPr>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中国农业银行东营分行</w:t>
            </w: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普惠金融事业部</w:t>
            </w:r>
            <w:r>
              <w:rPr>
                <w:rFonts w:hint="eastAsia" w:ascii="宋体" w:hAnsi="宋体" w:cs="宋体"/>
                <w:i w:val="0"/>
                <w:iCs w:val="0"/>
                <w:color w:val="000000"/>
                <w:sz w:val="24"/>
                <w:szCs w:val="24"/>
                <w:u w:val="none"/>
                <w:lang w:val="en-US" w:eastAsia="zh-CN"/>
              </w:rPr>
              <w:t xml:space="preserve"> </w:t>
            </w:r>
            <w:r>
              <w:rPr>
                <w:rFonts w:hint="eastAsia" w:ascii="宋体" w:hAnsi="宋体" w:eastAsia="宋体" w:cs="宋体"/>
                <w:i w:val="0"/>
                <w:iCs w:val="0"/>
                <w:color w:val="000000"/>
                <w:sz w:val="24"/>
                <w:szCs w:val="24"/>
                <w:u w:val="none"/>
                <w:lang w:eastAsia="zh-CN"/>
              </w:rPr>
              <w:t>赵传滨</w:t>
            </w: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b w:val="0"/>
                <w:i w:val="0"/>
                <w:iCs w:val="0"/>
                <w:caps w:val="0"/>
                <w:color w:val="000000"/>
                <w:spacing w:val="0"/>
                <w:w w:val="100"/>
                <w:sz w:val="24"/>
                <w:szCs w:val="24"/>
              </w:rPr>
              <w:t>18562030060</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trPr>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3</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东营银行</w:t>
            </w: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普惠金融部</w:t>
            </w:r>
            <w:r>
              <w:rPr>
                <w:rFonts w:hint="eastAsia" w:ascii="宋体" w:hAnsi="宋体" w:eastAsia="宋体" w:cs="宋体"/>
                <w:i w:val="0"/>
                <w:iCs w:val="0"/>
                <w:color w:val="000000"/>
                <w:sz w:val="24"/>
                <w:szCs w:val="24"/>
                <w:u w:val="none"/>
                <w:lang w:val="en-US" w:eastAsia="zh-CN"/>
              </w:rPr>
              <w:t xml:space="preserve"> </w:t>
            </w:r>
            <w:r>
              <w:rPr>
                <w:rFonts w:hint="eastAsia" w:ascii="宋体" w:hAnsi="宋体" w:eastAsia="宋体" w:cs="宋体"/>
                <w:i w:val="0"/>
                <w:iCs w:val="0"/>
                <w:color w:val="000000"/>
                <w:sz w:val="24"/>
                <w:szCs w:val="24"/>
                <w:u w:val="none"/>
                <w:lang w:eastAsia="zh-CN"/>
              </w:rPr>
              <w:t>王文文</w:t>
            </w: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13854685526</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8" w:hRule="atLeast"/>
        </w:trPr>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4</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b w:val="0"/>
                <w:i w:val="0"/>
                <w:iCs w:val="0"/>
                <w:caps w:val="0"/>
                <w:color w:val="000000"/>
                <w:spacing w:val="0"/>
                <w:w w:val="100"/>
                <w:sz w:val="24"/>
                <w:szCs w:val="24"/>
              </w:rPr>
            </w:pPr>
            <w:r>
              <w:rPr>
                <w:rFonts w:hint="eastAsia" w:ascii="宋体" w:hAnsi="宋体" w:eastAsia="宋体" w:cs="宋体"/>
                <w:b w:val="0"/>
                <w:i w:val="0"/>
                <w:iCs w:val="0"/>
                <w:caps w:val="0"/>
                <w:color w:val="000000"/>
                <w:spacing w:val="0"/>
                <w:w w:val="100"/>
                <w:sz w:val="24"/>
                <w:szCs w:val="24"/>
              </w:rPr>
              <w:t>中国邮政储蓄银行东营分行</w:t>
            </w: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b w:val="0"/>
                <w:i w:val="0"/>
                <w:iCs w:val="0"/>
                <w:caps w:val="0"/>
                <w:color w:val="000000"/>
                <w:spacing w:val="0"/>
                <w:w w:val="100"/>
                <w:sz w:val="24"/>
                <w:szCs w:val="24"/>
              </w:rPr>
            </w:pPr>
            <w:r>
              <w:rPr>
                <w:rFonts w:hint="eastAsia" w:ascii="宋体" w:hAnsi="宋体" w:eastAsia="宋体" w:cs="宋体"/>
                <w:i w:val="0"/>
                <w:iCs w:val="0"/>
                <w:color w:val="000000"/>
                <w:sz w:val="24"/>
                <w:szCs w:val="24"/>
                <w:u w:val="none"/>
                <w:lang w:val="en-US" w:eastAsia="zh-CN"/>
              </w:rPr>
              <w:t>普惠金融部（贾睿）</w:t>
            </w: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b w:val="0"/>
                <w:i w:val="0"/>
                <w:iCs w:val="0"/>
                <w:caps w:val="0"/>
                <w:color w:val="000000"/>
                <w:spacing w:val="0"/>
                <w:w w:val="100"/>
                <w:sz w:val="24"/>
                <w:szCs w:val="24"/>
              </w:rPr>
            </w:pPr>
            <w:r>
              <w:rPr>
                <w:rFonts w:hint="eastAsia" w:ascii="宋体" w:hAnsi="宋体" w:eastAsia="宋体" w:cs="宋体"/>
                <w:i w:val="0"/>
                <w:iCs w:val="0"/>
                <w:color w:val="000000"/>
                <w:sz w:val="24"/>
                <w:szCs w:val="24"/>
                <w:u w:val="none"/>
                <w:lang w:val="en-US" w:eastAsia="zh-CN"/>
              </w:rPr>
              <w:t>18605465620</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482"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2"/>
                <w:sz w:val="24"/>
                <w:szCs w:val="24"/>
                <w:u w:val="none"/>
                <w:lang w:val="en-US" w:eastAsia="zh-CN" w:bidi="ar-SA"/>
              </w:rPr>
              <w:t>5</w:t>
            </w:r>
          </w:p>
        </w:tc>
        <w:tc>
          <w:tcPr>
            <w:tcW w:w="871"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lang w:val="en-US" w:eastAsia="zh-CN" w:bidi="ar"/>
              </w:rPr>
              <w:t>东营农商银行</w:t>
            </w: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sz w:val="24"/>
                <w:szCs w:val="24"/>
                <w:u w:val="none"/>
                <w:lang w:val="en-US" w:eastAsia="zh-CN"/>
              </w:rPr>
              <w:t>王建  西三路支行</w:t>
            </w: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lang w:val="en-US" w:eastAsia="zh-CN" w:bidi="ar"/>
              </w:rPr>
              <w:t>13589953206</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宋体" w:hAnsi="宋体" w:eastAsia="宋体" w:cs="宋体"/>
                <w:i w:val="0"/>
                <w:iCs w:val="0"/>
                <w:color w:val="000000"/>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482" w:type="pct"/>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宋体" w:hAnsi="宋体" w:eastAsia="宋体" w:cs="宋体"/>
                <w:i w:val="0"/>
                <w:iCs w:val="0"/>
                <w:color w:val="000000"/>
                <w:kern w:val="2"/>
                <w:sz w:val="24"/>
                <w:szCs w:val="24"/>
                <w:u w:val="none"/>
                <w:lang w:val="en-US" w:eastAsia="zh-CN" w:bidi="ar-SA"/>
              </w:rPr>
            </w:pPr>
          </w:p>
        </w:tc>
        <w:tc>
          <w:tcPr>
            <w:tcW w:w="871" w:type="pct"/>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宋体" w:hAnsi="宋体" w:eastAsia="宋体" w:cs="宋体"/>
                <w:i w:val="0"/>
                <w:iCs w:val="0"/>
                <w:color w:val="000000"/>
                <w:kern w:val="2"/>
                <w:sz w:val="24"/>
                <w:szCs w:val="24"/>
                <w:u w:val="none"/>
                <w:lang w:val="en-US" w:eastAsia="zh-CN" w:bidi="ar-SA"/>
              </w:rPr>
            </w:pP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sz w:val="24"/>
                <w:szCs w:val="24"/>
                <w:u w:val="none"/>
                <w:lang w:eastAsia="zh-CN"/>
              </w:rPr>
              <w:t>唐宁宁</w:t>
            </w:r>
            <w:r>
              <w:rPr>
                <w:rFonts w:hint="eastAsia" w:ascii="宋体" w:hAnsi="宋体" w:cs="宋体"/>
                <w:i w:val="0"/>
                <w:iCs w:val="0"/>
                <w:color w:val="000000"/>
                <w:sz w:val="24"/>
                <w:szCs w:val="24"/>
                <w:u w:val="none"/>
                <w:lang w:val="en-US" w:eastAsia="zh-CN"/>
              </w:rPr>
              <w:t xml:space="preserve"> </w:t>
            </w:r>
            <w:r>
              <w:rPr>
                <w:rFonts w:hint="eastAsia" w:ascii="宋体" w:hAnsi="宋体" w:eastAsia="宋体" w:cs="宋体"/>
                <w:i w:val="0"/>
                <w:iCs w:val="0"/>
                <w:color w:val="000000"/>
                <w:sz w:val="24"/>
                <w:szCs w:val="24"/>
                <w:u w:val="none"/>
                <w:lang w:eastAsia="zh-CN"/>
              </w:rPr>
              <w:t>黄河路支行</w:t>
            </w: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sz w:val="24"/>
                <w:szCs w:val="24"/>
                <w:u w:val="none"/>
                <w:lang w:val="en-US" w:eastAsia="zh-CN"/>
              </w:rPr>
              <w:t>18562012627</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宋体" w:hAnsi="宋体" w:eastAsia="宋体" w:cs="宋体"/>
                <w:i w:val="0"/>
                <w:iCs w:val="0"/>
                <w:color w:val="000000"/>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482"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宋体" w:hAnsi="宋体" w:eastAsia="宋体" w:cs="宋体"/>
                <w:i w:val="0"/>
                <w:iCs w:val="0"/>
                <w:color w:val="000000"/>
                <w:kern w:val="2"/>
                <w:sz w:val="24"/>
                <w:szCs w:val="24"/>
                <w:u w:val="none"/>
                <w:lang w:val="en-US" w:eastAsia="zh-CN" w:bidi="ar-SA"/>
              </w:rPr>
            </w:pPr>
          </w:p>
        </w:tc>
        <w:tc>
          <w:tcPr>
            <w:tcW w:w="871"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i w:val="0"/>
                <w:iCs w:val="0"/>
                <w:color w:val="000000"/>
                <w:kern w:val="2"/>
                <w:sz w:val="24"/>
                <w:szCs w:val="24"/>
                <w:u w:val="none"/>
                <w:lang w:val="en-US" w:eastAsia="zh-CN" w:bidi="ar-SA"/>
              </w:rPr>
            </w:pP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aseline"/>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b w:val="0"/>
                <w:i w:val="0"/>
                <w:iCs w:val="0"/>
                <w:caps w:val="0"/>
                <w:color w:val="000000"/>
                <w:spacing w:val="0"/>
                <w:w w:val="100"/>
                <w:sz w:val="24"/>
                <w:szCs w:val="24"/>
              </w:rPr>
              <w:t>赵建学</w:t>
            </w:r>
            <w:r>
              <w:rPr>
                <w:rFonts w:hint="eastAsia" w:ascii="宋体" w:hAnsi="宋体" w:cs="宋体"/>
                <w:b w:val="0"/>
                <w:i w:val="0"/>
                <w:iCs w:val="0"/>
                <w:caps w:val="0"/>
                <w:color w:val="000000"/>
                <w:spacing w:val="0"/>
                <w:w w:val="100"/>
                <w:sz w:val="24"/>
                <w:szCs w:val="24"/>
                <w:lang w:val="en-US" w:eastAsia="zh-CN"/>
              </w:rPr>
              <w:t xml:space="preserve"> </w:t>
            </w:r>
            <w:r>
              <w:rPr>
                <w:rFonts w:hint="eastAsia" w:ascii="宋体" w:hAnsi="宋体" w:eastAsia="宋体" w:cs="宋体"/>
                <w:b w:val="0"/>
                <w:i w:val="0"/>
                <w:iCs w:val="0"/>
                <w:caps w:val="0"/>
                <w:color w:val="000000"/>
                <w:spacing w:val="0"/>
                <w:w w:val="100"/>
                <w:sz w:val="24"/>
                <w:szCs w:val="24"/>
              </w:rPr>
              <w:t>胜园支行</w:t>
            </w: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b w:val="0"/>
                <w:i w:val="0"/>
                <w:iCs w:val="0"/>
                <w:caps w:val="0"/>
                <w:color w:val="000000"/>
                <w:spacing w:val="0"/>
                <w:w w:val="100"/>
                <w:sz w:val="24"/>
                <w:szCs w:val="24"/>
              </w:rPr>
              <w:t>15615065770</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宋体" w:hAnsi="宋体" w:eastAsia="宋体" w:cs="宋体"/>
                <w:i w:val="0"/>
                <w:iCs w:val="0"/>
                <w:color w:val="000000"/>
                <w:kern w:val="2"/>
                <w:sz w:val="24"/>
                <w:szCs w:val="24"/>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6</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b w:val="0"/>
                <w:i w:val="0"/>
                <w:iCs w:val="0"/>
                <w:caps w:val="0"/>
                <w:color w:val="000000"/>
                <w:spacing w:val="0"/>
                <w:w w:val="100"/>
                <w:sz w:val="24"/>
                <w:szCs w:val="24"/>
              </w:rPr>
            </w:pPr>
            <w:r>
              <w:rPr>
                <w:rFonts w:hint="eastAsia" w:ascii="宋体" w:hAnsi="宋体" w:eastAsia="宋体" w:cs="宋体"/>
                <w:b w:val="0"/>
                <w:i w:val="0"/>
                <w:iCs w:val="0"/>
                <w:caps w:val="0"/>
                <w:color w:val="000000"/>
                <w:spacing w:val="0"/>
                <w:w w:val="100"/>
                <w:sz w:val="24"/>
                <w:szCs w:val="24"/>
              </w:rPr>
              <w:t>广饶农商银行</w:t>
            </w: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b w:val="0"/>
                <w:i w:val="0"/>
                <w:iCs w:val="0"/>
                <w:caps w:val="0"/>
                <w:color w:val="000000"/>
                <w:spacing w:val="0"/>
                <w:w w:val="100"/>
                <w:sz w:val="24"/>
                <w:szCs w:val="24"/>
              </w:rPr>
            </w:pPr>
            <w:r>
              <w:rPr>
                <w:rFonts w:hint="eastAsia" w:ascii="宋体" w:hAnsi="宋体" w:eastAsia="宋体" w:cs="宋体"/>
                <w:color w:val="000000"/>
                <w:sz w:val="24"/>
                <w:szCs w:val="24"/>
              </w:rPr>
              <w:t>零售金融部（刘占平）</w:t>
            </w: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b w:val="0"/>
                <w:i w:val="0"/>
                <w:iCs w:val="0"/>
                <w:caps w:val="0"/>
                <w:color w:val="000000"/>
                <w:spacing w:val="0"/>
                <w:w w:val="100"/>
                <w:sz w:val="24"/>
                <w:szCs w:val="24"/>
              </w:rPr>
            </w:pPr>
            <w:r>
              <w:rPr>
                <w:rFonts w:hint="eastAsia" w:ascii="宋体" w:hAnsi="宋体" w:eastAsia="宋体" w:cs="宋体"/>
                <w:color w:val="000000"/>
                <w:sz w:val="24"/>
                <w:szCs w:val="24"/>
              </w:rPr>
              <w:t>05466927877</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7</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b w:val="0"/>
                <w:i w:val="0"/>
                <w:iCs w:val="0"/>
                <w:caps w:val="0"/>
                <w:color w:val="000000"/>
                <w:spacing w:val="0"/>
                <w:w w:val="100"/>
                <w:sz w:val="24"/>
                <w:szCs w:val="24"/>
              </w:rPr>
            </w:pPr>
            <w:r>
              <w:rPr>
                <w:rFonts w:hint="eastAsia" w:ascii="宋体" w:hAnsi="宋体" w:eastAsia="宋体" w:cs="宋体"/>
                <w:b w:val="0"/>
                <w:i w:val="0"/>
                <w:iCs w:val="0"/>
                <w:caps w:val="0"/>
                <w:color w:val="000000"/>
                <w:spacing w:val="0"/>
                <w:w w:val="100"/>
                <w:sz w:val="24"/>
                <w:szCs w:val="24"/>
              </w:rPr>
              <w:t>齐商银行</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b w:val="0"/>
                <w:i w:val="0"/>
                <w:iCs w:val="0"/>
                <w:caps w:val="0"/>
                <w:color w:val="000000"/>
                <w:spacing w:val="0"/>
                <w:w w:val="100"/>
                <w:sz w:val="24"/>
                <w:szCs w:val="24"/>
              </w:rPr>
            </w:pPr>
            <w:r>
              <w:rPr>
                <w:rFonts w:hint="eastAsia" w:ascii="宋体" w:hAnsi="宋体" w:eastAsia="宋体" w:cs="宋体"/>
                <w:b w:val="0"/>
                <w:i w:val="0"/>
                <w:iCs w:val="0"/>
                <w:caps w:val="0"/>
                <w:color w:val="000000"/>
                <w:spacing w:val="0"/>
                <w:w w:val="100"/>
                <w:sz w:val="24"/>
                <w:szCs w:val="24"/>
              </w:rPr>
              <w:t>东营分行</w:t>
            </w: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b w:val="0"/>
                <w:i w:val="0"/>
                <w:iCs w:val="0"/>
                <w:caps w:val="0"/>
                <w:color w:val="000000"/>
                <w:spacing w:val="0"/>
                <w:w w:val="100"/>
                <w:sz w:val="24"/>
                <w:szCs w:val="24"/>
              </w:rPr>
            </w:pPr>
            <w:r>
              <w:rPr>
                <w:rFonts w:hint="eastAsia" w:ascii="宋体" w:hAnsi="宋体" w:eastAsia="宋体" w:cs="宋体"/>
                <w:i w:val="0"/>
                <w:iCs w:val="0"/>
                <w:color w:val="000000"/>
                <w:sz w:val="24"/>
                <w:szCs w:val="24"/>
                <w:u w:val="none"/>
                <w:lang w:eastAsia="zh-CN"/>
              </w:rPr>
              <w:t>普惠金融部（刘凯强）</w:t>
            </w: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b w:val="0"/>
                <w:i w:val="0"/>
                <w:iCs w:val="0"/>
                <w:caps w:val="0"/>
                <w:color w:val="000000"/>
                <w:spacing w:val="0"/>
                <w:w w:val="100"/>
                <w:sz w:val="24"/>
                <w:szCs w:val="24"/>
              </w:rPr>
            </w:pPr>
            <w:r>
              <w:rPr>
                <w:rFonts w:hint="eastAsia" w:ascii="宋体" w:hAnsi="宋体" w:eastAsia="宋体" w:cs="宋体"/>
                <w:i w:val="0"/>
                <w:iCs w:val="0"/>
                <w:color w:val="000000"/>
                <w:sz w:val="24"/>
                <w:szCs w:val="24"/>
                <w:u w:val="none"/>
                <w:lang w:val="en-US" w:eastAsia="zh-CN"/>
              </w:rPr>
              <w:t>15318310904</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8</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b w:val="0"/>
                <w:i w:val="0"/>
                <w:iCs w:val="0"/>
                <w:caps w:val="0"/>
                <w:color w:val="000000"/>
                <w:spacing w:val="0"/>
                <w:w w:val="100"/>
                <w:sz w:val="24"/>
                <w:szCs w:val="24"/>
              </w:rPr>
            </w:pPr>
            <w:r>
              <w:rPr>
                <w:rFonts w:hint="eastAsia" w:ascii="宋体" w:hAnsi="宋体" w:eastAsia="宋体" w:cs="宋体"/>
                <w:b w:val="0"/>
                <w:i w:val="0"/>
                <w:iCs w:val="0"/>
                <w:caps w:val="0"/>
                <w:color w:val="000000"/>
                <w:spacing w:val="0"/>
                <w:w w:val="100"/>
                <w:sz w:val="24"/>
                <w:szCs w:val="24"/>
              </w:rPr>
              <w:t>东营莱商村镇银行</w:t>
            </w: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b w:val="0"/>
                <w:i w:val="0"/>
                <w:iCs w:val="0"/>
                <w:caps w:val="0"/>
                <w:color w:val="000000"/>
                <w:spacing w:val="0"/>
                <w:w w:val="100"/>
                <w:sz w:val="24"/>
                <w:szCs w:val="24"/>
              </w:rPr>
            </w:pPr>
            <w:r>
              <w:rPr>
                <w:rFonts w:hint="eastAsia" w:ascii="宋体" w:hAnsi="宋体" w:eastAsia="宋体" w:cs="宋体"/>
                <w:i w:val="0"/>
                <w:iCs w:val="0"/>
                <w:color w:val="000000"/>
                <w:sz w:val="24"/>
                <w:szCs w:val="24"/>
                <w:u w:val="none"/>
                <w:lang w:val="en-US" w:eastAsia="zh-CN"/>
              </w:rPr>
              <w:t>普惠金融部 王秉梅</w:t>
            </w: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b w:val="0"/>
                <w:i w:val="0"/>
                <w:iCs w:val="0"/>
                <w:caps w:val="0"/>
                <w:color w:val="000000"/>
                <w:spacing w:val="0"/>
                <w:w w:val="100"/>
                <w:sz w:val="24"/>
                <w:szCs w:val="24"/>
              </w:rPr>
            </w:pPr>
            <w:r>
              <w:rPr>
                <w:rFonts w:hint="eastAsia" w:ascii="宋体" w:hAnsi="宋体" w:eastAsia="宋体" w:cs="宋体"/>
                <w:i w:val="0"/>
                <w:iCs w:val="0"/>
                <w:color w:val="000000"/>
                <w:sz w:val="24"/>
                <w:szCs w:val="24"/>
                <w:u w:val="none"/>
              </w:rPr>
              <w:t>18561228087</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9</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b w:val="0"/>
                <w:i w:val="0"/>
                <w:iCs w:val="0"/>
                <w:caps w:val="0"/>
                <w:color w:val="000000"/>
                <w:spacing w:val="0"/>
                <w:w w:val="100"/>
                <w:sz w:val="24"/>
                <w:szCs w:val="24"/>
              </w:rPr>
            </w:pPr>
            <w:r>
              <w:rPr>
                <w:rFonts w:hint="eastAsia" w:ascii="宋体" w:hAnsi="宋体" w:eastAsia="宋体" w:cs="宋体"/>
                <w:b w:val="0"/>
                <w:i w:val="0"/>
                <w:iCs w:val="0"/>
                <w:caps w:val="0"/>
                <w:color w:val="000000"/>
                <w:spacing w:val="0"/>
                <w:w w:val="100"/>
                <w:sz w:val="24"/>
                <w:szCs w:val="24"/>
              </w:rPr>
              <w:t>东营融和村镇银行</w:t>
            </w: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b w:val="0"/>
                <w:i w:val="0"/>
                <w:iCs w:val="0"/>
                <w:caps w:val="0"/>
                <w:color w:val="000000"/>
                <w:spacing w:val="0"/>
                <w:w w:val="100"/>
                <w:sz w:val="24"/>
                <w:szCs w:val="24"/>
              </w:rPr>
            </w:pPr>
            <w:r>
              <w:rPr>
                <w:rFonts w:hint="eastAsia" w:ascii="宋体" w:hAnsi="宋体" w:eastAsia="宋体" w:cs="宋体"/>
                <w:i w:val="0"/>
                <w:iCs w:val="0"/>
                <w:color w:val="000000"/>
                <w:sz w:val="24"/>
                <w:szCs w:val="24"/>
                <w:u w:val="none"/>
                <w:lang w:val="en-US" w:eastAsia="zh-CN"/>
              </w:rPr>
              <w:t>市场部</w:t>
            </w:r>
            <w:r>
              <w:rPr>
                <w:rFonts w:hint="eastAsia" w:ascii="宋体" w:hAnsi="宋体" w:cs="宋体"/>
                <w:i w:val="0"/>
                <w:iCs w:val="0"/>
                <w:color w:val="000000"/>
                <w:sz w:val="24"/>
                <w:szCs w:val="24"/>
                <w:u w:val="none"/>
                <w:lang w:val="en-US" w:eastAsia="zh-CN"/>
              </w:rPr>
              <w:t xml:space="preserve"> </w:t>
            </w:r>
            <w:r>
              <w:rPr>
                <w:rFonts w:hint="eastAsia" w:ascii="宋体" w:hAnsi="宋体" w:eastAsia="宋体" w:cs="宋体"/>
                <w:i w:val="0"/>
                <w:iCs w:val="0"/>
                <w:color w:val="000000"/>
                <w:sz w:val="24"/>
                <w:szCs w:val="24"/>
                <w:u w:val="none"/>
                <w:lang w:val="en-US" w:eastAsia="zh-CN"/>
              </w:rPr>
              <w:t>于晓敏</w:t>
            </w: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eastAsia" w:ascii="宋体" w:hAnsi="宋体" w:eastAsia="宋体" w:cs="宋体"/>
                <w:b w:val="0"/>
                <w:i w:val="0"/>
                <w:iCs w:val="0"/>
                <w:caps w:val="0"/>
                <w:color w:val="000000"/>
                <w:spacing w:val="0"/>
                <w:w w:val="100"/>
                <w:sz w:val="24"/>
                <w:szCs w:val="24"/>
              </w:rPr>
            </w:pPr>
            <w:r>
              <w:rPr>
                <w:rFonts w:hint="eastAsia" w:ascii="宋体" w:hAnsi="宋体" w:eastAsia="宋体" w:cs="宋体"/>
                <w:i w:val="0"/>
                <w:iCs w:val="0"/>
                <w:color w:val="000000"/>
                <w:sz w:val="24"/>
                <w:szCs w:val="24"/>
                <w:u w:val="none"/>
                <w:lang w:val="en-US" w:eastAsia="zh-CN"/>
              </w:rPr>
              <w:t>18561248199</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ascii="宋体" w:hAnsi="宋体" w:eastAsia="宋体" w:cs="宋体"/>
                <w:i w:val="0"/>
                <w:iCs w:val="0"/>
                <w:color w:val="000000"/>
                <w:sz w:val="24"/>
                <w:szCs w:val="24"/>
                <w:u w:val="none"/>
              </w:rPr>
            </w:pPr>
          </w:p>
        </w:tc>
      </w:tr>
    </w:tbl>
    <w:p>
      <w:pPr>
        <w:keepNext w:val="0"/>
        <w:keepLines w:val="0"/>
        <w:pageBreakBefore w:val="0"/>
        <w:widowControl w:val="0"/>
        <w:kinsoku/>
        <w:wordWrap/>
        <w:overflowPunct/>
        <w:topLinePunct w:val="0"/>
        <w:autoSpaceDE/>
        <w:autoSpaceDN/>
        <w:bidi w:val="0"/>
        <w:adjustRightInd/>
        <w:snapToGrid/>
        <w:spacing w:line="600" w:lineRule="exact"/>
        <w:textAlignment w:val="auto"/>
      </w:pPr>
    </w:p>
    <w:p>
      <w:pPr>
        <w:pStyle w:val="2"/>
        <w:rPr>
          <w:rFonts w:hint="eastAsia" w:ascii="方正小标宋简体" w:hAnsi="方正小标宋简体" w:eastAsia="方正小标宋简体"/>
          <w:sz w:val="36"/>
          <w:szCs w:val="36"/>
          <w:highlight w:val="yellow"/>
          <w:lang w:val="en-US" w:eastAsia="zh-CN"/>
        </w:rPr>
      </w:pPr>
    </w:p>
    <w:p>
      <w:pPr>
        <w:pStyle w:val="2"/>
        <w:rPr>
          <w:rFonts w:hint="eastAsia" w:ascii="方正小标宋简体" w:hAnsi="方正小标宋简体" w:eastAsia="方正小标宋简体"/>
          <w:sz w:val="36"/>
          <w:szCs w:val="36"/>
          <w:highlight w:val="yellow"/>
          <w:lang w:val="en-US" w:eastAsia="zh-CN"/>
        </w:rPr>
      </w:pPr>
    </w:p>
    <w:p>
      <w:pPr>
        <w:pStyle w:val="2"/>
        <w:rPr>
          <w:rFonts w:hint="eastAsia" w:ascii="方正小标宋简体" w:hAnsi="方正小标宋简体" w:eastAsia="方正小标宋简体"/>
          <w:sz w:val="36"/>
          <w:szCs w:val="36"/>
          <w:highlight w:val="yellow"/>
          <w:lang w:val="en-US" w:eastAsia="zh-CN"/>
        </w:rPr>
      </w:pPr>
    </w:p>
    <w:p>
      <w:pPr>
        <w:pStyle w:val="2"/>
        <w:rPr>
          <w:rFonts w:hint="eastAsia" w:ascii="方正小标宋简体" w:hAnsi="方正小标宋简体" w:eastAsia="方正小标宋简体"/>
          <w:sz w:val="36"/>
          <w:szCs w:val="36"/>
          <w:highlight w:val="yellow"/>
          <w:lang w:val="en-US" w:eastAsia="zh-CN"/>
        </w:rPr>
      </w:pPr>
    </w:p>
    <w:p>
      <w:pPr>
        <w:pStyle w:val="2"/>
        <w:rPr>
          <w:rFonts w:hint="eastAsia" w:ascii="方正小标宋简体" w:hAnsi="方正小标宋简体" w:eastAsia="方正小标宋简体"/>
          <w:sz w:val="36"/>
          <w:szCs w:val="36"/>
          <w:highlight w:val="yellow"/>
          <w:lang w:val="en-US" w:eastAsia="zh-CN"/>
        </w:rPr>
      </w:pPr>
    </w:p>
    <w:p>
      <w:pPr>
        <w:pStyle w:val="2"/>
        <w:rPr>
          <w:rFonts w:hint="eastAsia" w:ascii="方正小标宋简体" w:hAnsi="方正小标宋简体" w:eastAsia="方正小标宋简体"/>
          <w:sz w:val="36"/>
          <w:szCs w:val="36"/>
          <w:highlight w:val="yellow"/>
          <w:lang w:val="en-US" w:eastAsia="zh-CN"/>
        </w:rPr>
      </w:pPr>
    </w:p>
    <w:p>
      <w:pPr>
        <w:pStyle w:val="2"/>
        <w:rPr>
          <w:rFonts w:hint="eastAsia" w:ascii="方正小标宋简体" w:hAnsi="方正小标宋简体" w:eastAsia="方正小标宋简体"/>
          <w:sz w:val="36"/>
          <w:szCs w:val="36"/>
          <w:highlight w:val="yellow"/>
          <w:lang w:val="en-US" w:eastAsia="zh-CN"/>
        </w:rPr>
      </w:pPr>
    </w:p>
    <w:p>
      <w:pPr>
        <w:pStyle w:val="2"/>
        <w:rPr>
          <w:rFonts w:hint="eastAsia" w:ascii="方正小标宋简体" w:hAnsi="方正小标宋简体" w:eastAsia="方正小标宋简体"/>
          <w:sz w:val="36"/>
          <w:szCs w:val="36"/>
          <w:highlight w:val="yellow"/>
          <w:lang w:val="en-US" w:eastAsia="zh-CN"/>
        </w:rPr>
      </w:pPr>
    </w:p>
    <w:p>
      <w:pPr>
        <w:pStyle w:val="2"/>
        <w:rPr>
          <w:rFonts w:hint="eastAsia" w:ascii="方正小标宋简体" w:hAnsi="方正小标宋简体" w:eastAsia="方正小标宋简体"/>
          <w:sz w:val="36"/>
          <w:szCs w:val="36"/>
          <w:highlight w:val="yellow"/>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sz w:val="36"/>
          <w:szCs w:val="36"/>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sz w:val="36"/>
          <w:szCs w:val="36"/>
        </w:rPr>
      </w:pPr>
      <w:bookmarkStart w:id="42" w:name="_Toc10716"/>
      <w:r>
        <w:rPr>
          <w:rFonts w:hint="eastAsia" w:ascii="方正小标宋简体" w:hAnsi="方正小标宋简体" w:eastAsia="方正小标宋简体" w:cs="方正小标宋简体"/>
          <w:sz w:val="36"/>
          <w:szCs w:val="36"/>
        </w:rPr>
        <w:t>政府性融资担保机构风险补偿担保补助</w:t>
      </w:r>
      <w:bookmarkEnd w:id="42"/>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lang w:val="en-US" w:eastAsia="zh-CN"/>
        </w:rPr>
      </w:pPr>
      <w:bookmarkStart w:id="43" w:name="_Toc8"/>
      <w:bookmarkStart w:id="44" w:name="_Toc23215"/>
      <w:r>
        <w:rPr>
          <w:rFonts w:hint="eastAsia" w:ascii="方正小标宋简体" w:hAnsi="方正小标宋简体" w:eastAsia="方正小标宋简体" w:cs="方正小标宋简体"/>
          <w:sz w:val="36"/>
          <w:szCs w:val="36"/>
        </w:rPr>
        <w:t>及资本金补充资金管理办法</w:t>
      </w:r>
      <w:bookmarkEnd w:id="43"/>
      <w:bookmarkEnd w:id="44"/>
    </w:p>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40" w:firstLineChars="200"/>
        <w:textAlignment w:val="auto"/>
        <w:rPr>
          <w:rFonts w:hint="default"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一、服务对象和范围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等线" w:eastAsia="仿宋_GB2312" w:cs="Times New Roman"/>
          <w:b w:val="0"/>
          <w:bCs/>
          <w:sz w:val="32"/>
          <w:szCs w:val="32"/>
          <w:lang w:val="en-US" w:eastAsia="zh-CN"/>
        </w:rPr>
      </w:pPr>
      <w:r>
        <w:rPr>
          <w:rFonts w:hint="eastAsia" w:ascii="仿宋_GB2312" w:hAnsi="等线" w:eastAsia="仿宋_GB2312" w:cs="Times New Roman"/>
          <w:b w:val="0"/>
          <w:bCs/>
          <w:sz w:val="32"/>
          <w:szCs w:val="32"/>
          <w:lang w:val="en-US" w:eastAsia="zh-CN"/>
        </w:rPr>
        <w:t>《东营市政府性融资担保机构风险补偿担保补助及资本金补充资金管理办法》所称中小微企业、“三农”主体是指在东营市行政区域内注册并从事生产经营、符合国家、省和市产业发展政策要求、具有独立法人资格且符合申请条件的企业以及农户(含新型农业经营主体)。重点关注小微、创新创业及市政府确定重点培育的高成长型中小企业、拥有知识产权的科技型企业、农业产业化龙头企业。企业标准依照工业和信息化部、国家统计局、发展改革委、财政部联合发布《关于印发中小企业划型标准规定的通知》(工信部联企业〔2011〕300号)规定的中小微型企业(含个体工商户以及小微企业主)。农业产业化龙头企业按照国家、省、市产业化重点龙头企业有关认定标准，农户认定标准按照支持小微企业融资税收政策有关规定执行。</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二、概念解释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等线" w:eastAsia="仿宋_GB2312" w:cs="Times New Roman"/>
          <w:b w:val="0"/>
          <w:bCs/>
          <w:sz w:val="32"/>
          <w:szCs w:val="32"/>
          <w:lang w:val="en-US" w:eastAsia="zh-CN"/>
        </w:rPr>
      </w:pPr>
      <w:r>
        <w:rPr>
          <w:rFonts w:hint="eastAsia" w:ascii="仿宋_GB2312" w:hAnsi="等线" w:eastAsia="仿宋_GB2312" w:cs="Times New Roman"/>
          <w:b w:val="0"/>
          <w:bCs/>
          <w:sz w:val="32"/>
          <w:szCs w:val="32"/>
          <w:lang w:val="en-US" w:eastAsia="zh-CN"/>
        </w:rPr>
        <w:t>政府性融资担保机构风险补偿资金(以下简称“风险补偿金”),是指由市、县区(含市属开发区，下同)财政预算安排，对担保机构支持中小微企业、“三农”发展提供 融资担保业务产生的代偿风险给予一定补偿的资金。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等线" w:eastAsia="仿宋_GB2312" w:cs="Times New Roman"/>
          <w:b w:val="0"/>
          <w:bCs/>
          <w:sz w:val="32"/>
          <w:szCs w:val="32"/>
          <w:lang w:val="en-US" w:eastAsia="zh-CN"/>
        </w:rPr>
      </w:pPr>
      <w:r>
        <w:rPr>
          <w:rFonts w:hint="eastAsia" w:ascii="仿宋_GB2312" w:hAnsi="等线" w:eastAsia="仿宋_GB2312" w:cs="Times New Roman"/>
          <w:b w:val="0"/>
          <w:bCs/>
          <w:sz w:val="32"/>
          <w:szCs w:val="32"/>
          <w:lang w:val="en-US" w:eastAsia="zh-CN"/>
        </w:rPr>
        <w:t>担保补助资金是指由市、县区财政预算安排，对担保机构为中小微企业、“三农”融资主体提供的融资担保业务给予适当补助的资金。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等线" w:eastAsia="仿宋_GB2312" w:cs="Times New Roman"/>
          <w:b w:val="0"/>
          <w:bCs/>
          <w:sz w:val="32"/>
          <w:szCs w:val="32"/>
          <w:lang w:val="en-US" w:eastAsia="zh-CN"/>
        </w:rPr>
      </w:pPr>
      <w:r>
        <w:rPr>
          <w:rFonts w:hint="eastAsia" w:ascii="仿宋_GB2312" w:hAnsi="等线" w:eastAsia="仿宋_GB2312" w:cs="Times New Roman"/>
          <w:b w:val="0"/>
          <w:bCs/>
          <w:sz w:val="32"/>
          <w:szCs w:val="32"/>
          <w:lang w:val="en-US" w:eastAsia="zh-CN"/>
        </w:rPr>
        <w:t>资本金补充资金是指通过由市、县区财政预算安排、其他资本注入等方式为担保机构增加的资本金。</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三、政策名称</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_GB2312" w:hAnsi="等线" w:eastAsia="仿宋_GB2312" w:cs="Times New Roman"/>
          <w:b w:val="0"/>
          <w:bCs/>
          <w:kern w:val="2"/>
          <w:sz w:val="32"/>
          <w:szCs w:val="32"/>
          <w:lang w:val="en-US" w:eastAsia="zh-CN" w:bidi="ar-SA"/>
        </w:rPr>
      </w:pPr>
      <w:r>
        <w:rPr>
          <w:rFonts w:hint="eastAsia" w:ascii="仿宋_GB2312" w:hAnsi="等线" w:eastAsia="仿宋_GB2312" w:cs="Times New Roman"/>
          <w:b w:val="0"/>
          <w:bCs/>
          <w:kern w:val="2"/>
          <w:sz w:val="32"/>
          <w:szCs w:val="32"/>
          <w:lang w:val="en-US" w:eastAsia="zh-CN" w:bidi="ar-SA"/>
        </w:rPr>
        <w:t>2022年5月10日，市财政局、市地方金融监管局出台了《东营市政府性融资担保机构风险补偿担保补助及资本金补充资金管理办法》（东财发〔2022〕26 号）。文件有效期，2022年5月10日至2027年5月9日。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_GB2312" w:hAnsi="等线" w:eastAsia="仿宋_GB2312" w:cs="Times New Roman"/>
          <w:b w:val="0"/>
          <w:bCs/>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四、政策措施内容及标准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_GB2312" w:hAnsi="等线" w:eastAsia="仿宋_GB2312" w:cs="Times New Roman"/>
          <w:b w:val="0"/>
          <w:bCs/>
          <w:kern w:val="2"/>
          <w:sz w:val="32"/>
          <w:szCs w:val="32"/>
          <w:lang w:val="en-US" w:eastAsia="zh-CN" w:bidi="ar-SA"/>
        </w:rPr>
      </w:pPr>
      <w:r>
        <w:rPr>
          <w:rFonts w:hint="eastAsia" w:ascii="仿宋_GB2312" w:hAnsi="等线" w:eastAsia="仿宋_GB2312" w:cs="Times New Roman"/>
          <w:b w:val="0"/>
          <w:bCs/>
          <w:kern w:val="2"/>
          <w:sz w:val="32"/>
          <w:szCs w:val="32"/>
          <w:lang w:val="en-US" w:eastAsia="zh-CN" w:bidi="ar-SA"/>
        </w:rPr>
        <w:t>1、担保期限不超过 3 年，对单户担保金额 500 万元及以下 的小微企业和“三农”主体的年化担保费率原则上不超过1%,其 余情况原则上不超过1.5%,不得通过收取担保保证金、财务咨询、财务顾问或账外收费等形式转嫁担保费。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_GB2312" w:hAnsi="等线" w:eastAsia="仿宋_GB2312" w:cs="Times New Roman"/>
          <w:b w:val="0"/>
          <w:bCs/>
          <w:kern w:val="2"/>
          <w:sz w:val="32"/>
          <w:szCs w:val="32"/>
          <w:lang w:val="en-US" w:eastAsia="zh-CN" w:bidi="ar-SA"/>
        </w:rPr>
      </w:pPr>
      <w:r>
        <w:rPr>
          <w:rFonts w:hint="eastAsia" w:ascii="仿宋_GB2312" w:hAnsi="等线" w:eastAsia="仿宋_GB2312" w:cs="Times New Roman"/>
          <w:b w:val="0"/>
          <w:bCs/>
          <w:kern w:val="2"/>
          <w:sz w:val="32"/>
          <w:szCs w:val="32"/>
          <w:lang w:val="en-US" w:eastAsia="zh-CN" w:bidi="ar-SA"/>
        </w:rPr>
        <w:t>2、降低反担保门槛，对贷款信用记录和有效抵质押品不足但产品有市场、项目有前景、技术有竞争力的中小微企业逐步取消反担保措施。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仿宋_GB2312" w:hAnsi="等线" w:eastAsia="仿宋_GB2312" w:cs="Times New Roman"/>
          <w:b w:val="0"/>
          <w:bCs/>
          <w:kern w:val="2"/>
          <w:sz w:val="32"/>
          <w:szCs w:val="32"/>
          <w:lang w:val="en-US" w:eastAsia="zh-CN" w:bidi="ar-SA"/>
        </w:rPr>
      </w:pPr>
      <w:r>
        <w:rPr>
          <w:rFonts w:hint="eastAsia" w:ascii="仿宋_GB2312" w:hAnsi="等线" w:eastAsia="仿宋_GB2312" w:cs="Times New Roman"/>
          <w:b w:val="0"/>
          <w:bCs/>
          <w:kern w:val="2"/>
          <w:sz w:val="32"/>
          <w:szCs w:val="32"/>
          <w:lang w:val="en-US" w:eastAsia="zh-CN" w:bidi="ar-SA"/>
        </w:rPr>
        <w:t>3、对符合支持范围的中小微企业、“三农”担保贷款出现不良后，担保机构须先行予以代偿。</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_GB2312" w:hAnsi="等线" w:eastAsia="仿宋_GB2312" w:cs="Times New Roman"/>
          <w:b w:val="0"/>
          <w:bCs/>
          <w:kern w:val="2"/>
          <w:sz w:val="32"/>
          <w:szCs w:val="32"/>
          <w:lang w:val="en-US" w:eastAsia="zh-CN" w:bidi="ar-SA"/>
        </w:rPr>
      </w:pPr>
      <w:r>
        <w:rPr>
          <w:rFonts w:hint="eastAsia" w:ascii="仿宋_GB2312" w:hAnsi="等线" w:eastAsia="仿宋_GB2312" w:cs="Times New Roman"/>
          <w:b w:val="0"/>
          <w:bCs/>
          <w:kern w:val="2"/>
          <w:sz w:val="32"/>
          <w:szCs w:val="32"/>
          <w:lang w:val="en-US" w:eastAsia="zh-CN" w:bidi="ar-SA"/>
        </w:rPr>
        <w:t>4、对担保机构依法依规提供担保、确因客观原因造成的代 偿损失，代偿率在8%以内的部分，风险补偿金按照代偿率对担保 机构实行分档补偿。其中，对于代偿率小于1%(含1%,下同) 的部分，风险补偿金最高按照担保代偿额的100%对担保机构给予 补偿;对于代偿率1%-3%(含3%)的部分，风险补偿金最高按照 担保代偿额的80%对担保机构给予补偿;对于代偿率 3%-5%(含 5%)的部分，风险补偿金最高按照担保代偿额的 60%对担保机构 给予补偿;对于代偿率5%-8%(含8%)的部分，风险补偿金最高按照担保代偿额的50%对担保机构给予补偿。超出8%的部分不予 补偿。</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_GB2312" w:hAnsi="等线" w:eastAsia="仿宋_GB2312" w:cs="Times New Roman"/>
          <w:b w:val="0"/>
          <w:bCs/>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仿宋_GB2312" w:hAnsi="等线" w:eastAsia="仿宋_GB2312" w:cs="Times New Roman"/>
          <w:b w:val="0"/>
          <w:bCs/>
          <w:kern w:val="2"/>
          <w:sz w:val="32"/>
          <w:szCs w:val="32"/>
          <w:lang w:val="en-US" w:eastAsia="zh-CN" w:bidi="ar-SA"/>
        </w:rPr>
        <w:sectPr>
          <w:footerReference r:id="rId13" w:type="default"/>
          <w:pgSz w:w="11906" w:h="16838"/>
          <w:pgMar w:top="1587" w:right="1474" w:bottom="147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CESI楷体-GB2312" w:hAnsi="CESI楷体-GB2312" w:eastAsia="CESI楷体-GB2312" w:cs="CESI楷体-GB2312"/>
          <w:color w:val="000000"/>
          <w:kern w:val="2"/>
          <w:sz w:val="32"/>
          <w:szCs w:val="32"/>
          <w:lang w:val="en-US" w:eastAsia="zh-CN" w:bidi="ar-SA"/>
        </w:rPr>
        <w:t>主办单位：市财政局   联系方式：8334505</w:t>
      </w: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sz w:val="36"/>
          <w:szCs w:val="36"/>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Times New Roman" w:hAnsi="Times New Roman" w:eastAsia="黑体" w:cs="Times New Roman"/>
          <w:color w:val="auto"/>
          <w:kern w:val="2"/>
          <w:sz w:val="32"/>
          <w:szCs w:val="32"/>
          <w:lang w:val="en" w:eastAsia="zh-CN" w:bidi="ar-SA"/>
        </w:rPr>
      </w:pPr>
      <w:bookmarkStart w:id="45" w:name="_Toc16246"/>
      <w:r>
        <w:rPr>
          <w:rFonts w:hint="eastAsia" w:ascii="方正小标宋简体" w:hAnsi="方正小标宋简体" w:eastAsia="方正小标宋简体"/>
          <w:sz w:val="36"/>
          <w:szCs w:val="36"/>
          <w:lang w:val="en-US" w:eastAsia="zh-CN"/>
        </w:rPr>
        <w:t>政策性农业信贷担保</w:t>
      </w:r>
      <w:bookmarkEnd w:id="45"/>
    </w:p>
    <w:p>
      <w:pPr>
        <w:keepNext w:val="0"/>
        <w:keepLines w:val="0"/>
        <w:pageBreakBefore w:val="0"/>
        <w:widowControl/>
        <w:suppressLineNumbers w:val="0"/>
        <w:kinsoku/>
        <w:wordWrap/>
        <w:overflowPunct/>
        <w:topLinePunct w:val="0"/>
        <w:autoSpaceDE/>
        <w:autoSpaceDN/>
        <w:bidi w:val="0"/>
        <w:adjustRightInd/>
        <w:snapToGrid/>
        <w:spacing w:line="590" w:lineRule="exact"/>
        <w:ind w:firstLine="640" w:firstLineChars="200"/>
        <w:jc w:val="left"/>
        <w:textAlignment w:val="auto"/>
        <w:rPr>
          <w:rFonts w:hint="eastAsia" w:ascii="Times New Roman" w:hAnsi="Times New Roman" w:eastAsia="黑体" w:cs="Times New Roman"/>
          <w:color w:val="auto"/>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590" w:lineRule="exact"/>
        <w:ind w:firstLine="640" w:firstLineChars="200"/>
        <w:jc w:val="left"/>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 xml:space="preserve">一、服务对象和范围 </w:t>
      </w:r>
    </w:p>
    <w:p>
      <w:pPr>
        <w:pageBreakBefore w:val="0"/>
        <w:kinsoku/>
        <w:wordWrap/>
        <w:overflowPunct/>
        <w:topLinePunct w:val="0"/>
        <w:bidi w:val="0"/>
        <w:spacing w:line="590" w:lineRule="exact"/>
        <w:ind w:firstLine="636"/>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政策性业务实行“双控”标准。一是控制业务范围。服务范围限定为农业生产（包括农林牧 渔生产和农田建设）及与农业生产直接相关的产业融合项目（指县域范围内，向农业生产者提供农资、农技、农机，农产品收购、仓储保鲜、销售、初加工，以及农业新业态等服务的项目），突出对粮食、生猪等重要农产品生产的支持。二是控制担保额度。服务对象聚焦家庭农场、种养大户、农民合作社、农业社会化服务组织、小微农业企业等农业适度规模经营主体，以及国有农（团）场中符合条件的农业适度规模经营主体，单户在保余额不超过1000万元，同时 10万元-300万元的政策性业务在保余额不得低于总担保余额70%”。</w:t>
      </w:r>
    </w:p>
    <w:p>
      <w:pPr>
        <w:keepNext w:val="0"/>
        <w:keepLines w:val="0"/>
        <w:pageBreakBefore w:val="0"/>
        <w:widowControl/>
        <w:suppressLineNumbers w:val="0"/>
        <w:kinsoku/>
        <w:wordWrap/>
        <w:overflowPunct/>
        <w:topLinePunct w:val="0"/>
        <w:autoSpaceDE/>
        <w:autoSpaceDN/>
        <w:bidi w:val="0"/>
        <w:adjustRightInd/>
        <w:snapToGrid/>
        <w:spacing w:line="590" w:lineRule="exact"/>
        <w:ind w:firstLine="640" w:firstLineChars="200"/>
        <w:jc w:val="left"/>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 xml:space="preserve">二、政策依据 </w:t>
      </w:r>
    </w:p>
    <w:p>
      <w:pPr>
        <w:pageBreakBefore w:val="0"/>
        <w:kinsoku/>
        <w:wordWrap/>
        <w:overflowPunct/>
        <w:topLinePunct w:val="0"/>
        <w:bidi w:val="0"/>
        <w:spacing w:line="590" w:lineRule="exact"/>
        <w:ind w:firstLine="636"/>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根据党中央、国务院要求，2015年7月，财政部、原农业部、原银监会联合下发《关于财政支持建立农业信贷担保体系的指导意见》（财农〔2015〕121 号），明确由中央财政出资，用三年时间建立覆盖全国的农业信贷担保体系，为农业尤其是粮食适度规模经营主体提供信贷担保服务，切实解决农业发展中的“融资难”“融资贵”问题。2017年5月，财政部、原农业部、原银监会联合下发《关于做好全国农业信贷担保工作的通知》（财农〔2017〕40 号），对全国农担体系政策性定位、体系建设、能力建设等方面提出了明确要求，同时也规定了对政策性担保业务实行担保费补助及业务奖补政策。2017年10月，山东省人民政府下发《关于同意山东省农业发展信贷担保有限责任公司组建工作有关事宜的批复》（鲁政字〔2017〕178 号），批复组建山东省农业发展信贷担保有限责任公司，公司注册资本金40亿元，由省财政厅代省政府履行出资人职责，明确公司为政策性、专注性、独立性的省管一级企业。通过政策性农业信贷担保为农业适度规模经营主体增信，为银行分担风险，为乡村振兴赋能，引导撬动金融资本和社会资本投向农业农村，形成财政金融协同支农的有效机制。</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jc w:val="left"/>
        <w:textAlignment w:val="auto"/>
        <w:rPr>
          <w:rFonts w:hint="eastAsia" w:ascii="CESI仿宋-GB2312" w:hAnsi="CESI仿宋-GB2312" w:eastAsia="CESI仿宋-GB2312" w:cs="CESI仿宋-GB2312"/>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三、政策措施内容及标准</w:t>
      </w:r>
    </w:p>
    <w:p>
      <w:pPr>
        <w:pageBreakBefore w:val="0"/>
        <w:kinsoku/>
        <w:wordWrap/>
        <w:overflowPunct/>
        <w:topLinePunct w:val="0"/>
        <w:bidi w:val="0"/>
        <w:spacing w:line="590" w:lineRule="exact"/>
        <w:ind w:firstLine="636"/>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1.担保费率。</w:t>
      </w:r>
      <w:r>
        <w:rPr>
          <w:rFonts w:hint="eastAsia" w:ascii="仿宋_GB2312" w:hAnsi="仿宋_GB2312" w:eastAsia="仿宋_GB2312" w:cs="仿宋_GB2312"/>
          <w:kern w:val="2"/>
          <w:sz w:val="32"/>
          <w:szCs w:val="32"/>
          <w:highlight w:val="none"/>
          <w:lang w:val="en-US" w:eastAsia="zh-CN" w:bidi="ar-SA"/>
        </w:rPr>
        <w:t xml:space="preserve">对于粮食种植适度规模经营主体、符合条件的扶贫项目，对贷款主体收取的年度担保费率原则上按照 0.5%执行：对其他符合条件的贷款主体，年度担保费率原则上按照0.75%执行。 </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jc w:val="left"/>
        <w:textAlignment w:val="auto"/>
        <w:rPr>
          <w:rFonts w:hint="eastAsia" w:ascii="方正仿宋_GB2312" w:hAnsi="方正仿宋_GB2312" w:eastAsia="方正仿宋_GB2312" w:cs="方正仿宋_GB2312"/>
          <w:color w:val="auto"/>
          <w:kern w:val="2"/>
          <w:sz w:val="32"/>
          <w:szCs w:val="32"/>
          <w:lang w:val="en-US" w:eastAsia="zh-CN" w:bidi="ar-SA"/>
        </w:rPr>
      </w:pPr>
      <w:r>
        <w:rPr>
          <w:rFonts w:hint="eastAsia" w:ascii="仿宋_GB2312" w:hAnsi="仿宋_GB2312" w:eastAsia="仿宋_GB2312" w:cs="仿宋_GB2312"/>
          <w:b/>
          <w:bCs/>
          <w:kern w:val="2"/>
          <w:sz w:val="32"/>
          <w:szCs w:val="32"/>
          <w:highlight w:val="none"/>
          <w:lang w:val="en-US" w:eastAsia="zh-CN" w:bidi="ar-SA"/>
        </w:rPr>
        <w:t>2.担保期限。</w:t>
      </w:r>
      <w:r>
        <w:rPr>
          <w:rFonts w:hint="eastAsia" w:ascii="仿宋_GB2312" w:hAnsi="仿宋_GB2312" w:eastAsia="仿宋_GB2312" w:cs="仿宋_GB2312"/>
          <w:kern w:val="2"/>
          <w:sz w:val="32"/>
          <w:szCs w:val="32"/>
          <w:highlight w:val="none"/>
          <w:lang w:val="en-US" w:eastAsia="zh-CN" w:bidi="ar-SA"/>
        </w:rPr>
        <w:t>申请人为个人客户的，担保期限原则上不超过3年。对于用途为购置大型农机具或进行农田水利、大棚等农田基础设施建设的，以及从事林业、果业、茶叶等生长期较长作物种植的，可适当延长担保期限，但最长不超过10年。申请人为法人客户的担保期限原则上在1年（含）以内。从事种植、养殖等回收期较长产业的法人客户，可根据生产周期适当延长担保期限，但最长不超过10年。</w:t>
      </w:r>
      <w:r>
        <w:rPr>
          <w:rFonts w:hint="eastAsia" w:ascii="方正仿宋_GB2312" w:hAnsi="方正仿宋_GB2312" w:eastAsia="方正仿宋_GB2312" w:cs="方正仿宋_GB2312"/>
          <w:color w:val="auto"/>
          <w:kern w:val="2"/>
          <w:sz w:val="32"/>
          <w:szCs w:val="32"/>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3.贴息政策。</w:t>
      </w:r>
      <w:r>
        <w:rPr>
          <w:rFonts w:hint="eastAsia" w:ascii="仿宋_GB2312" w:hAnsi="仿宋_GB2312" w:eastAsia="仿宋_GB2312" w:cs="仿宋_GB2312"/>
          <w:kern w:val="2"/>
          <w:sz w:val="32"/>
          <w:szCs w:val="32"/>
          <w:highlight w:val="none"/>
          <w:lang w:val="en-US" w:eastAsia="zh-CN" w:bidi="ar-SA"/>
        </w:rPr>
        <w:t>对于10-300万元的政策性农业信贷担保贷款，省财政按照 2%实行财政贴息。</w:t>
      </w:r>
    </w:p>
    <w:p>
      <w:pPr>
        <w:keepNext w:val="0"/>
        <w:keepLines w:val="0"/>
        <w:pageBreakBefore w:val="0"/>
        <w:widowControl w:val="0"/>
        <w:numPr>
          <w:ilvl w:val="0"/>
          <w:numId w:val="5"/>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申报办理流程</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 xml:space="preserve">1.项目受理。合作银行按其内部规定和流程开展尽职调查和审查审批，对于审批通过的，提交公司担保业务信息系统。 </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2.项目审核。公司受理中心、风险审查岗进行风险审查。</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 xml:space="preserve">3.项目审批。风险审查完毕，出具审查意见，提交有权审批人或公司评审会审批。 </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jc w:val="left"/>
        <w:textAlignment w:val="auto"/>
        <w:rPr>
          <w:rFonts w:hint="eastAsia" w:ascii="方正仿宋_GB2312" w:hAnsi="方正仿宋_GB2312" w:eastAsia="方正仿宋_GB2312" w:cs="方正仿宋_GB2312"/>
          <w:color w:val="auto"/>
          <w:kern w:val="2"/>
          <w:sz w:val="32"/>
          <w:szCs w:val="32"/>
          <w:lang w:val="en-US" w:eastAsia="zh-CN" w:bidi="ar-SA"/>
        </w:rPr>
      </w:pPr>
      <w:r>
        <w:rPr>
          <w:rFonts w:hint="eastAsia" w:ascii="仿宋_GB2312" w:hAnsi="仿宋_GB2312" w:eastAsia="仿宋_GB2312" w:cs="仿宋_GB2312"/>
          <w:kern w:val="2"/>
          <w:sz w:val="32"/>
          <w:szCs w:val="32"/>
          <w:highlight w:val="none"/>
          <w:lang w:val="en-US" w:eastAsia="zh-CN" w:bidi="ar-SA"/>
        </w:rPr>
        <w:t>4.签约收费。项目审批通过后，公司风险管理部通过担保业务信息系统，分别向合作银行、相关管理中心出具《项目批复书》。银行收到《项目批复书》后，应通知客户在3个月内落实批复条件，与客户签署《借款合同》，受托见证客户签署担保相关法律文件并收取担保费，提交公司担保业务信息系统。</w:t>
      </w:r>
      <w:r>
        <w:rPr>
          <w:rFonts w:hint="eastAsia" w:ascii="方正仿宋_GB2312" w:hAnsi="方正仿宋_GB2312" w:eastAsia="方正仿宋_GB2312" w:cs="方正仿宋_GB2312"/>
          <w:color w:val="auto"/>
          <w:kern w:val="2"/>
          <w:sz w:val="32"/>
          <w:szCs w:val="32"/>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 xml:space="preserve">5.通知放款。银行收到《担保承诺函暨放款通知书》后，应通知客户在3个月内提款，提款后5个工作日内银行负责将放款凭证上传公司担保业务信息系统。 </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jc w:val="left"/>
        <w:textAlignment w:val="auto"/>
        <w:rPr>
          <w:rFonts w:hint="eastAsia" w:ascii="仿宋_GB2312" w:hAnsi="仿宋_GB2312" w:eastAsia="仿宋_GB2312" w:cs="仿宋_GB2312"/>
          <w:kern w:val="2"/>
          <w:sz w:val="32"/>
          <w:szCs w:val="32"/>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jc w:val="left"/>
        <w:textAlignment w:val="auto"/>
        <w:rPr>
          <w:rFonts w:hint="eastAsia" w:ascii="仿宋_GB2312" w:hAnsi="仿宋_GB2312" w:eastAsia="仿宋_GB2312" w:cs="仿宋_GB2312"/>
          <w:kern w:val="2"/>
          <w:sz w:val="32"/>
          <w:szCs w:val="32"/>
          <w:highlight w:val="none"/>
          <w:lang w:val="en-US" w:eastAsia="zh-CN" w:bidi="ar-SA"/>
        </w:rPr>
      </w:pPr>
      <w:r>
        <w:rPr>
          <w:rFonts w:hint="eastAsia" w:ascii="CESI楷体-GB2312" w:hAnsi="CESI楷体-GB2312" w:eastAsia="CESI楷体-GB2312" w:cs="CESI楷体-GB2312"/>
          <w:kern w:val="2"/>
          <w:sz w:val="32"/>
          <w:szCs w:val="32"/>
          <w:highlight w:val="none"/>
          <w:lang w:val="en-US" w:eastAsia="zh-CN" w:bidi="ar-SA"/>
        </w:rPr>
        <w:t>主办单位：山东省农业发展信贷担保有限公司东营市管理中心  联系电话：13210313366</w:t>
      </w:r>
    </w:p>
    <w:p>
      <w:pPr>
        <w:pStyle w:val="20"/>
        <w:pageBreakBefore w:val="0"/>
        <w:kinsoku/>
        <w:wordWrap/>
        <w:overflowPunct/>
        <w:topLinePunct w:val="0"/>
        <w:bidi w:val="0"/>
        <w:spacing w:before="0" w:after="0" w:line="590" w:lineRule="exact"/>
        <w:ind w:firstLine="0" w:firstLineChars="0"/>
        <w:outlineLvl w:val="0"/>
        <w:rPr>
          <w:rFonts w:hint="eastAsia" w:ascii="方正小标宋简体" w:eastAsia="方正小标宋简体"/>
          <w:b w:val="0"/>
          <w:sz w:val="44"/>
          <w:szCs w:val="44"/>
        </w:rPr>
      </w:pPr>
    </w:p>
    <w:p>
      <w:pPr>
        <w:pStyle w:val="20"/>
        <w:pageBreakBefore w:val="0"/>
        <w:kinsoku/>
        <w:wordWrap/>
        <w:overflowPunct/>
        <w:topLinePunct w:val="0"/>
        <w:bidi w:val="0"/>
        <w:spacing w:before="0" w:after="0" w:line="590" w:lineRule="exact"/>
        <w:ind w:firstLine="0" w:firstLineChars="0"/>
        <w:outlineLvl w:val="0"/>
        <w:rPr>
          <w:rFonts w:hint="eastAsia" w:ascii="方正小标宋简体" w:eastAsia="方正小标宋简体"/>
          <w:b w:val="0"/>
          <w:sz w:val="44"/>
          <w:szCs w:val="44"/>
        </w:rPr>
      </w:pPr>
    </w:p>
    <w:bookmarkEnd w:id="37"/>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CESI仿宋-GB2312" w:eastAsia="仿宋_GB2312" w:cs="CESI仿宋-GB2312"/>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bookmarkStart w:id="46" w:name="_Toc12434"/>
      <w:r>
        <w:rPr>
          <w:rFonts w:hint="eastAsia" w:ascii="方正小标宋简体" w:hAnsi="方正小标宋简体" w:eastAsia="方正小标宋简体" w:cs="方正小标宋简体"/>
          <w:b w:val="0"/>
          <w:bCs w:val="0"/>
          <w:sz w:val="36"/>
          <w:szCs w:val="36"/>
          <w:lang w:val="en-US" w:eastAsia="zh-CN"/>
        </w:rPr>
        <w:t>小微企业融资担保业务降费奖补政策</w:t>
      </w:r>
      <w:bookmarkEnd w:id="46"/>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CESI仿宋-GB2312" w:hAnsi="CESI仿宋-GB2312" w:eastAsia="CESI仿宋-GB2312" w:cs="CESI仿宋-GB2312"/>
          <w:sz w:val="32"/>
          <w:szCs w:val="32"/>
          <w:lang w:val="en-US" w:eastAsia="zh-CN"/>
        </w:rPr>
      </w:pPr>
      <w:r>
        <w:rPr>
          <w:rFonts w:hint="eastAsia" w:ascii="Times New Roman" w:hAnsi="Times New Roman" w:eastAsia="黑体" w:cs="Times New Roman"/>
          <w:color w:val="auto"/>
          <w:kern w:val="2"/>
          <w:sz w:val="32"/>
          <w:szCs w:val="32"/>
          <w:lang w:val="en-US" w:eastAsia="zh-CN" w:bidi="ar-SA"/>
        </w:rPr>
        <w:t>一、支持对象</w:t>
      </w:r>
    </w:p>
    <w:p>
      <w:pPr>
        <w:pageBreakBefore w:val="0"/>
        <w:kinsoku/>
        <w:wordWrap/>
        <w:overflowPunct/>
        <w:topLinePunct w:val="0"/>
        <w:bidi w:val="0"/>
        <w:spacing w:line="590" w:lineRule="exact"/>
        <w:ind w:firstLine="640"/>
        <w:jc w:val="left"/>
        <w:rPr>
          <w:rFonts w:hint="eastAsia" w:ascii="仿宋_GB2312" w:hAnsi="CESI仿宋-GB2312" w:eastAsia="仿宋_GB2312" w:cs="CESI仿宋-GB2312"/>
          <w:sz w:val="32"/>
          <w:szCs w:val="32"/>
          <w:lang w:val="en-US" w:eastAsia="zh-CN"/>
        </w:rPr>
      </w:pPr>
      <w:r>
        <w:rPr>
          <w:rFonts w:hint="eastAsia" w:ascii="仿宋_GB2312" w:hAnsi="CESI仿宋-GB2312" w:eastAsia="仿宋_GB2312" w:cs="CESI仿宋-GB2312"/>
          <w:sz w:val="32"/>
          <w:szCs w:val="32"/>
          <w:lang w:val="en-US" w:eastAsia="zh-CN"/>
        </w:rPr>
        <w:t>通过工业和信息化部“中小企业信用担保业务信息报送系统”准确及时报送全年业务信息的融资担保机构、纳入省政府性融资担保机构名单的机构，以及纳入省再担保分险体系的融资担保机构。</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二、政策依据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textAlignment w:val="auto"/>
        <w:rPr>
          <w:rFonts w:hint="eastAsia" w:ascii="仿宋_GB2312" w:hAnsi="CESI仿宋-GB2312" w:eastAsia="仿宋_GB2312" w:cs="CESI仿宋-GB2312"/>
          <w:kern w:val="2"/>
          <w:sz w:val="32"/>
          <w:szCs w:val="32"/>
          <w:lang w:val="en-US" w:eastAsia="zh-CN" w:bidi="ar-SA"/>
        </w:rPr>
      </w:pPr>
      <w:r>
        <w:rPr>
          <w:rFonts w:hint="eastAsia"/>
          <w:lang w:val="en-US" w:eastAsia="zh-CN"/>
        </w:rPr>
        <w:t xml:space="preserve">    </w:t>
      </w:r>
      <w:r>
        <w:rPr>
          <w:rFonts w:hint="eastAsia" w:ascii="仿宋_GB2312" w:hAnsi="CESI仿宋-GB2312" w:eastAsia="仿宋_GB2312" w:cs="CESI仿宋-GB2312"/>
          <w:kern w:val="2"/>
          <w:sz w:val="32"/>
          <w:szCs w:val="32"/>
          <w:lang w:val="en-US" w:eastAsia="zh-CN" w:bidi="ar-SA"/>
        </w:rPr>
        <w:t xml:space="preserve">  2021年4月25日，财政部、工业和信息化部印发《关于继续实施小微企业融资担保业务降费奖补政策的通知 》（财建〔2021〕106号）。</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三、政策内容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CESI仿宋-GB2312" w:eastAsia="仿宋_GB2312" w:cs="CESI仿宋-GB2312"/>
          <w:kern w:val="2"/>
          <w:sz w:val="32"/>
          <w:szCs w:val="32"/>
          <w:lang w:val="en-US" w:eastAsia="zh-CN" w:bidi="ar-SA"/>
        </w:rPr>
      </w:pPr>
      <w:r>
        <w:rPr>
          <w:rFonts w:hint="eastAsia" w:ascii="仿宋_GB2312" w:hAnsi="CESI仿宋-GB2312" w:eastAsia="仿宋_GB2312" w:cs="CESI仿宋-GB2312"/>
          <w:kern w:val="2"/>
          <w:sz w:val="32"/>
          <w:szCs w:val="32"/>
          <w:lang w:val="en-US" w:eastAsia="zh-CN" w:bidi="ar-SA"/>
        </w:rPr>
        <w:t>对省级切块资金采取“综合考虑省切块资金规模、小微企业年化担保费率、年化担保额等有关情况，实施分档定额奖励和因素法补助”的办法进行分配。</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四、申报办理流程</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CESI仿宋-GB2312" w:eastAsia="仿宋_GB2312" w:cs="CESI仿宋-GB2312"/>
          <w:kern w:val="2"/>
          <w:sz w:val="32"/>
          <w:szCs w:val="32"/>
          <w:lang w:val="en-US" w:eastAsia="zh-CN" w:bidi="ar-SA"/>
        </w:rPr>
      </w:pPr>
      <w:r>
        <w:rPr>
          <w:rFonts w:hint="eastAsia" w:ascii="仿宋_GB2312" w:hAnsi="CESI仿宋-GB2312" w:eastAsia="仿宋_GB2312" w:cs="CESI仿宋-GB2312"/>
          <w:kern w:val="2"/>
          <w:sz w:val="32"/>
          <w:szCs w:val="32"/>
          <w:lang w:val="en-US" w:eastAsia="zh-CN" w:bidi="ar-SA"/>
        </w:rPr>
        <w:t>省工信厅、财政厅发布组织申报小微企业融资担保业务降费奖补资金项目的通知，市工信局、财政局向各县区（开发区）下发通知，各县区（开发区）组织符合条件的融资担保机构申报。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CESI楷体-GB2312" w:hAnsi="CESI楷体-GB2312" w:eastAsia="CESI楷体-GB2312" w:cs="CESI楷体-GB2312"/>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CESI楷体-GB2312" w:hAnsi="CESI楷体-GB2312" w:eastAsia="CESI楷体-GB2312" w:cs="CESI楷体-GB2312"/>
          <w:kern w:val="2"/>
          <w:sz w:val="32"/>
          <w:szCs w:val="32"/>
          <w:lang w:val="en-US" w:eastAsia="zh-CN" w:bidi="ar-SA"/>
        </w:rPr>
      </w:pPr>
      <w:r>
        <w:rPr>
          <w:rFonts w:hint="eastAsia" w:ascii="CESI楷体-GB2312" w:hAnsi="CESI楷体-GB2312" w:eastAsia="CESI楷体-GB2312" w:cs="CESI楷体-GB2312"/>
          <w:kern w:val="2"/>
          <w:sz w:val="32"/>
          <w:szCs w:val="32"/>
          <w:lang w:val="en-US" w:eastAsia="zh-CN" w:bidi="ar-SA"/>
        </w:rPr>
        <w:t>主办单位：市工业和信息化局，联系电话8338080；市财政局，联系电话：8334505</w:t>
      </w:r>
    </w:p>
    <w:p>
      <w:pPr>
        <w:pStyle w:val="2"/>
        <w:pageBreakBefore w:val="0"/>
        <w:numPr>
          <w:ilvl w:val="0"/>
          <w:numId w:val="0"/>
        </w:numPr>
        <w:kinsoku/>
        <w:wordWrap/>
        <w:overflowPunct/>
        <w:topLinePunct w:val="0"/>
        <w:bidi w:val="0"/>
        <w:spacing w:line="590" w:lineRule="exact"/>
        <w:ind w:leftChars="0"/>
        <w:jc w:val="center"/>
        <w:outlineLvl w:val="0"/>
        <w:rPr>
          <w:rFonts w:hint="eastAsia" w:ascii="方正小标宋简体" w:eastAsia="方正小标宋简体"/>
          <w:b w:val="0"/>
          <w:sz w:val="44"/>
          <w:szCs w:val="44"/>
          <w:lang w:val="en-US" w:eastAsia="zh-CN"/>
        </w:rPr>
      </w:pPr>
    </w:p>
    <w:p>
      <w:pPr>
        <w:pStyle w:val="2"/>
        <w:pageBreakBefore w:val="0"/>
        <w:numPr>
          <w:ilvl w:val="0"/>
          <w:numId w:val="0"/>
        </w:numPr>
        <w:kinsoku/>
        <w:wordWrap/>
        <w:overflowPunct/>
        <w:topLinePunct w:val="0"/>
        <w:bidi w:val="0"/>
        <w:spacing w:line="590" w:lineRule="exact"/>
        <w:ind w:leftChars="0"/>
        <w:jc w:val="center"/>
        <w:outlineLvl w:val="0"/>
        <w:rPr>
          <w:rFonts w:hint="eastAsia" w:ascii="方正小标宋简体" w:eastAsia="方正小标宋简体"/>
          <w:b w:val="0"/>
          <w:sz w:val="44"/>
          <w:szCs w:val="44"/>
          <w:lang w:val="en-US" w:eastAsia="zh-CN"/>
        </w:rPr>
      </w:pPr>
    </w:p>
    <w:p>
      <w:pPr>
        <w:pStyle w:val="2"/>
        <w:pageBreakBefore w:val="0"/>
        <w:numPr>
          <w:ilvl w:val="0"/>
          <w:numId w:val="0"/>
        </w:numPr>
        <w:kinsoku/>
        <w:wordWrap/>
        <w:overflowPunct/>
        <w:topLinePunct w:val="0"/>
        <w:bidi w:val="0"/>
        <w:spacing w:line="590" w:lineRule="exact"/>
        <w:ind w:leftChars="0"/>
        <w:jc w:val="center"/>
        <w:outlineLvl w:val="0"/>
        <w:rPr>
          <w:rFonts w:hint="eastAsia" w:ascii="方正小标宋简体" w:eastAsia="方正小标宋简体"/>
          <w:b w:val="0"/>
          <w:sz w:val="44"/>
          <w:szCs w:val="44"/>
          <w:lang w:val="en-US" w:eastAsia="zh-CN"/>
        </w:rPr>
      </w:pPr>
    </w:p>
    <w:p>
      <w:pPr>
        <w:pStyle w:val="2"/>
        <w:pageBreakBefore w:val="0"/>
        <w:numPr>
          <w:ilvl w:val="0"/>
          <w:numId w:val="0"/>
        </w:numPr>
        <w:kinsoku/>
        <w:wordWrap/>
        <w:overflowPunct/>
        <w:topLinePunct w:val="0"/>
        <w:bidi w:val="0"/>
        <w:spacing w:line="590" w:lineRule="exact"/>
        <w:ind w:leftChars="0"/>
        <w:jc w:val="center"/>
        <w:outlineLvl w:val="0"/>
        <w:rPr>
          <w:rFonts w:hint="eastAsia" w:ascii="方正小标宋简体" w:eastAsia="方正小标宋简体"/>
          <w:b w:val="0"/>
          <w:sz w:val="44"/>
          <w:szCs w:val="44"/>
          <w:lang w:val="en-US" w:eastAsia="zh-CN"/>
        </w:rPr>
      </w:pPr>
      <w:bookmarkStart w:id="47" w:name="_Toc12121"/>
      <w:r>
        <w:rPr>
          <w:rFonts w:hint="eastAsia" w:ascii="方正小标宋简体" w:eastAsia="方正小标宋简体"/>
          <w:b w:val="0"/>
          <w:sz w:val="44"/>
          <w:szCs w:val="44"/>
          <w:lang w:val="en-US" w:eastAsia="zh-CN"/>
        </w:rPr>
        <w:t>第五篇</w:t>
      </w:r>
      <w:r>
        <w:rPr>
          <w:rFonts w:hint="eastAsia" w:ascii="方正小标宋简体" w:eastAsia="方正小标宋简体"/>
          <w:b w:val="0"/>
          <w:sz w:val="44"/>
          <w:szCs w:val="44"/>
        </w:rPr>
        <w:t xml:space="preserve"> </w:t>
      </w:r>
      <w:r>
        <w:rPr>
          <w:rFonts w:hint="eastAsia" w:ascii="方正小标宋简体" w:eastAsia="方正小标宋简体"/>
          <w:b w:val="0"/>
          <w:sz w:val="44"/>
          <w:szCs w:val="44"/>
          <w:lang w:eastAsia="zh-CN"/>
        </w:rPr>
        <w:t>其他</w:t>
      </w:r>
      <w:r>
        <w:rPr>
          <w:rFonts w:hint="eastAsia" w:ascii="方正小标宋简体" w:eastAsia="方正小标宋简体"/>
          <w:b w:val="0"/>
          <w:sz w:val="44"/>
          <w:szCs w:val="44"/>
          <w:lang w:val="en-US" w:eastAsia="zh-CN"/>
        </w:rPr>
        <w:t>政策措施</w:t>
      </w:r>
      <w:bookmarkEnd w:id="47"/>
    </w:p>
    <w:p>
      <w:pPr>
        <w:pStyle w:val="2"/>
        <w:pageBreakBefore w:val="0"/>
        <w:widowControl w:val="0"/>
        <w:numPr>
          <w:ilvl w:val="0"/>
          <w:numId w:val="0"/>
        </w:numPr>
        <w:kinsoku/>
        <w:wordWrap/>
        <w:overflowPunct/>
        <w:topLinePunct w:val="0"/>
        <w:bidi w:val="0"/>
        <w:spacing w:line="590" w:lineRule="exact"/>
        <w:jc w:val="center"/>
        <w:rPr>
          <w:rFonts w:hint="default" w:ascii="方正小标宋简体" w:eastAsia="方正小标宋简体"/>
          <w:b w:val="0"/>
          <w:sz w:val="44"/>
          <w:szCs w:val="44"/>
          <w:lang w:val="en-US" w:eastAsia="zh-CN"/>
        </w:rPr>
      </w:pPr>
    </w:p>
    <w:p>
      <w:pPr>
        <w:pStyle w:val="2"/>
        <w:pageBreakBefore w:val="0"/>
        <w:widowControl w:val="0"/>
        <w:numPr>
          <w:ilvl w:val="0"/>
          <w:numId w:val="0"/>
        </w:numPr>
        <w:kinsoku/>
        <w:wordWrap/>
        <w:overflowPunct/>
        <w:topLinePunct w:val="0"/>
        <w:bidi w:val="0"/>
        <w:spacing w:line="590" w:lineRule="exact"/>
        <w:jc w:val="center"/>
        <w:rPr>
          <w:rFonts w:hint="default" w:ascii="方正小标宋简体" w:eastAsia="方正小标宋简体"/>
          <w:b w:val="0"/>
          <w:sz w:val="44"/>
          <w:szCs w:val="44"/>
          <w:lang w:val="en-US" w:eastAsia="zh-CN"/>
        </w:rPr>
      </w:pPr>
    </w:p>
    <w:p>
      <w:pPr>
        <w:pStyle w:val="2"/>
        <w:pageBreakBefore w:val="0"/>
        <w:widowControl w:val="0"/>
        <w:numPr>
          <w:ilvl w:val="0"/>
          <w:numId w:val="0"/>
        </w:numPr>
        <w:kinsoku/>
        <w:wordWrap/>
        <w:overflowPunct/>
        <w:topLinePunct w:val="0"/>
        <w:bidi w:val="0"/>
        <w:spacing w:line="590" w:lineRule="exact"/>
        <w:jc w:val="center"/>
        <w:rPr>
          <w:rFonts w:hint="default" w:ascii="方正小标宋简体" w:eastAsia="方正小标宋简体"/>
          <w:b w:val="0"/>
          <w:sz w:val="44"/>
          <w:szCs w:val="44"/>
          <w:lang w:val="en-US" w:eastAsia="zh-CN"/>
        </w:rPr>
      </w:pPr>
    </w:p>
    <w:p>
      <w:pPr>
        <w:pStyle w:val="2"/>
        <w:pageBreakBefore w:val="0"/>
        <w:widowControl w:val="0"/>
        <w:numPr>
          <w:ilvl w:val="0"/>
          <w:numId w:val="0"/>
        </w:numPr>
        <w:kinsoku/>
        <w:wordWrap/>
        <w:overflowPunct/>
        <w:topLinePunct w:val="0"/>
        <w:bidi w:val="0"/>
        <w:spacing w:line="590" w:lineRule="exact"/>
        <w:jc w:val="center"/>
        <w:rPr>
          <w:rFonts w:hint="default" w:ascii="方正小标宋简体" w:eastAsia="方正小标宋简体"/>
          <w:b w:val="0"/>
          <w:sz w:val="44"/>
          <w:szCs w:val="44"/>
          <w:lang w:val="en-US" w:eastAsia="zh-CN"/>
        </w:rPr>
      </w:pPr>
    </w:p>
    <w:p>
      <w:pPr>
        <w:pStyle w:val="2"/>
        <w:pageBreakBefore w:val="0"/>
        <w:widowControl w:val="0"/>
        <w:numPr>
          <w:ilvl w:val="0"/>
          <w:numId w:val="0"/>
        </w:numPr>
        <w:kinsoku/>
        <w:wordWrap/>
        <w:overflowPunct/>
        <w:topLinePunct w:val="0"/>
        <w:bidi w:val="0"/>
        <w:spacing w:line="590" w:lineRule="exact"/>
        <w:jc w:val="center"/>
        <w:rPr>
          <w:rFonts w:hint="default" w:ascii="方正小标宋简体" w:eastAsia="方正小标宋简体"/>
          <w:b w:val="0"/>
          <w:sz w:val="44"/>
          <w:szCs w:val="44"/>
          <w:lang w:val="en-US" w:eastAsia="zh-CN"/>
        </w:rPr>
      </w:pPr>
    </w:p>
    <w:p>
      <w:pPr>
        <w:pStyle w:val="2"/>
        <w:pageBreakBefore w:val="0"/>
        <w:widowControl w:val="0"/>
        <w:numPr>
          <w:ilvl w:val="0"/>
          <w:numId w:val="0"/>
        </w:numPr>
        <w:kinsoku/>
        <w:wordWrap/>
        <w:overflowPunct/>
        <w:topLinePunct w:val="0"/>
        <w:bidi w:val="0"/>
        <w:spacing w:line="590" w:lineRule="exact"/>
        <w:jc w:val="center"/>
        <w:rPr>
          <w:rFonts w:hint="default" w:ascii="方正小标宋简体" w:eastAsia="方正小标宋简体"/>
          <w:b w:val="0"/>
          <w:sz w:val="44"/>
          <w:szCs w:val="44"/>
          <w:lang w:val="en-US" w:eastAsia="zh-CN"/>
        </w:rPr>
      </w:pPr>
    </w:p>
    <w:p>
      <w:pPr>
        <w:pStyle w:val="2"/>
        <w:pageBreakBefore w:val="0"/>
        <w:widowControl w:val="0"/>
        <w:numPr>
          <w:ilvl w:val="0"/>
          <w:numId w:val="0"/>
        </w:numPr>
        <w:kinsoku/>
        <w:wordWrap/>
        <w:overflowPunct/>
        <w:topLinePunct w:val="0"/>
        <w:bidi w:val="0"/>
        <w:spacing w:line="590" w:lineRule="exact"/>
        <w:jc w:val="center"/>
        <w:rPr>
          <w:rFonts w:hint="default" w:ascii="方正小标宋简体" w:eastAsia="方正小标宋简体"/>
          <w:b w:val="0"/>
          <w:sz w:val="44"/>
          <w:szCs w:val="44"/>
          <w:lang w:val="en-US" w:eastAsia="zh-CN"/>
        </w:rPr>
      </w:pPr>
    </w:p>
    <w:p>
      <w:pPr>
        <w:pStyle w:val="2"/>
        <w:pageBreakBefore w:val="0"/>
        <w:widowControl w:val="0"/>
        <w:numPr>
          <w:ilvl w:val="0"/>
          <w:numId w:val="0"/>
        </w:numPr>
        <w:kinsoku/>
        <w:wordWrap/>
        <w:overflowPunct/>
        <w:topLinePunct w:val="0"/>
        <w:bidi w:val="0"/>
        <w:spacing w:line="590" w:lineRule="exact"/>
        <w:jc w:val="center"/>
        <w:rPr>
          <w:rFonts w:hint="default" w:ascii="方正小标宋简体" w:eastAsia="方正小标宋简体"/>
          <w:b w:val="0"/>
          <w:sz w:val="44"/>
          <w:szCs w:val="44"/>
          <w:lang w:val="en-US" w:eastAsia="zh-CN"/>
        </w:rPr>
      </w:pPr>
    </w:p>
    <w:p>
      <w:pPr>
        <w:pStyle w:val="2"/>
        <w:pageBreakBefore w:val="0"/>
        <w:widowControl w:val="0"/>
        <w:numPr>
          <w:ilvl w:val="0"/>
          <w:numId w:val="0"/>
        </w:numPr>
        <w:kinsoku/>
        <w:wordWrap/>
        <w:overflowPunct/>
        <w:topLinePunct w:val="0"/>
        <w:bidi w:val="0"/>
        <w:spacing w:line="590" w:lineRule="exact"/>
        <w:jc w:val="center"/>
        <w:rPr>
          <w:rFonts w:hint="default" w:ascii="方正小标宋简体" w:eastAsia="方正小标宋简体"/>
          <w:b w:val="0"/>
          <w:sz w:val="44"/>
          <w:szCs w:val="44"/>
          <w:lang w:val="en-US" w:eastAsia="zh-CN"/>
        </w:rPr>
      </w:pPr>
    </w:p>
    <w:p>
      <w:pPr>
        <w:pStyle w:val="2"/>
        <w:pageBreakBefore w:val="0"/>
        <w:widowControl w:val="0"/>
        <w:numPr>
          <w:ilvl w:val="0"/>
          <w:numId w:val="0"/>
        </w:numPr>
        <w:kinsoku/>
        <w:wordWrap/>
        <w:overflowPunct/>
        <w:topLinePunct w:val="0"/>
        <w:bidi w:val="0"/>
        <w:spacing w:line="590" w:lineRule="exact"/>
        <w:jc w:val="center"/>
        <w:rPr>
          <w:rFonts w:hint="default" w:ascii="方正小标宋简体" w:eastAsia="方正小标宋简体"/>
          <w:b w:val="0"/>
          <w:sz w:val="44"/>
          <w:szCs w:val="44"/>
          <w:lang w:val="en-US" w:eastAsia="zh-CN"/>
        </w:rPr>
      </w:pPr>
    </w:p>
    <w:p>
      <w:pPr>
        <w:pStyle w:val="2"/>
        <w:pageBreakBefore w:val="0"/>
        <w:widowControl w:val="0"/>
        <w:numPr>
          <w:ilvl w:val="0"/>
          <w:numId w:val="0"/>
        </w:numPr>
        <w:kinsoku/>
        <w:wordWrap/>
        <w:overflowPunct/>
        <w:topLinePunct w:val="0"/>
        <w:bidi w:val="0"/>
        <w:spacing w:line="590" w:lineRule="exact"/>
        <w:jc w:val="center"/>
        <w:rPr>
          <w:rFonts w:hint="default" w:ascii="方正小标宋简体" w:eastAsia="方正小标宋简体"/>
          <w:b w:val="0"/>
          <w:sz w:val="44"/>
          <w:szCs w:val="44"/>
          <w:lang w:val="en-US" w:eastAsia="zh-CN"/>
        </w:rPr>
      </w:pPr>
    </w:p>
    <w:p>
      <w:pPr>
        <w:pStyle w:val="2"/>
        <w:pageBreakBefore w:val="0"/>
        <w:widowControl w:val="0"/>
        <w:numPr>
          <w:ilvl w:val="0"/>
          <w:numId w:val="0"/>
        </w:numPr>
        <w:kinsoku/>
        <w:wordWrap/>
        <w:overflowPunct/>
        <w:topLinePunct w:val="0"/>
        <w:bidi w:val="0"/>
        <w:spacing w:line="590" w:lineRule="exact"/>
        <w:jc w:val="center"/>
        <w:rPr>
          <w:rFonts w:hint="default" w:ascii="方正小标宋简体" w:eastAsia="方正小标宋简体"/>
          <w:b w:val="0"/>
          <w:sz w:val="44"/>
          <w:szCs w:val="44"/>
          <w:lang w:val="en-US" w:eastAsia="zh-CN"/>
        </w:rPr>
      </w:pPr>
    </w:p>
    <w:p>
      <w:pPr>
        <w:pStyle w:val="2"/>
        <w:pageBreakBefore w:val="0"/>
        <w:widowControl w:val="0"/>
        <w:numPr>
          <w:ilvl w:val="0"/>
          <w:numId w:val="0"/>
        </w:numPr>
        <w:kinsoku/>
        <w:wordWrap/>
        <w:overflowPunct/>
        <w:topLinePunct w:val="0"/>
        <w:bidi w:val="0"/>
        <w:spacing w:line="590" w:lineRule="exact"/>
        <w:jc w:val="center"/>
        <w:rPr>
          <w:rFonts w:hint="default" w:ascii="方正小标宋简体" w:eastAsia="方正小标宋简体"/>
          <w:b w:val="0"/>
          <w:sz w:val="44"/>
          <w:szCs w:val="44"/>
          <w:lang w:val="en-US" w:eastAsia="zh-CN"/>
        </w:rPr>
      </w:pPr>
    </w:p>
    <w:p>
      <w:pPr>
        <w:pStyle w:val="2"/>
        <w:pageBreakBefore w:val="0"/>
        <w:widowControl w:val="0"/>
        <w:numPr>
          <w:ilvl w:val="0"/>
          <w:numId w:val="0"/>
        </w:numPr>
        <w:kinsoku/>
        <w:wordWrap/>
        <w:overflowPunct/>
        <w:topLinePunct w:val="0"/>
        <w:bidi w:val="0"/>
        <w:spacing w:line="590" w:lineRule="exact"/>
        <w:jc w:val="center"/>
        <w:rPr>
          <w:rFonts w:hint="default" w:ascii="方正小标宋简体" w:eastAsia="方正小标宋简体"/>
          <w:b w:val="0"/>
          <w:sz w:val="44"/>
          <w:szCs w:val="44"/>
          <w:lang w:val="en-US" w:eastAsia="zh-CN"/>
        </w:rPr>
      </w:pPr>
    </w:p>
    <w:p>
      <w:pPr>
        <w:pageBreakBefore w:val="0"/>
        <w:kinsoku/>
        <w:wordWrap/>
        <w:overflowPunct/>
        <w:topLinePunct w:val="0"/>
        <w:bidi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lang w:val="en"/>
        </w:rPr>
      </w:pPr>
    </w:p>
    <w:p>
      <w:pPr>
        <w:pageBreakBefore w:val="0"/>
        <w:kinsoku/>
        <w:wordWrap/>
        <w:overflowPunct/>
        <w:topLinePunct w:val="0"/>
        <w:bidi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lang w:val="en"/>
        </w:rPr>
      </w:pPr>
    </w:p>
    <w:p>
      <w:pPr>
        <w:pageBreakBefore w:val="0"/>
        <w:kinsoku/>
        <w:wordWrap/>
        <w:overflowPunct/>
        <w:topLinePunct w:val="0"/>
        <w:bidi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lang w:val="en"/>
        </w:rPr>
      </w:pPr>
    </w:p>
    <w:p>
      <w:pPr>
        <w:pageBreakBefore w:val="0"/>
        <w:kinsoku/>
        <w:wordWrap/>
        <w:overflowPunct/>
        <w:topLinePunct w:val="0"/>
        <w:bidi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lang w:val="en"/>
        </w:rPr>
      </w:pPr>
    </w:p>
    <w:p>
      <w:pPr>
        <w:pageBreakBefore w:val="0"/>
        <w:kinsoku/>
        <w:wordWrap/>
        <w:overflowPunct/>
        <w:topLinePunct w:val="0"/>
        <w:bidi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lang w:val="en"/>
        </w:rPr>
      </w:pPr>
    </w:p>
    <w:p>
      <w:pPr>
        <w:pageBreakBefore w:val="0"/>
        <w:kinsoku/>
        <w:wordWrap/>
        <w:overflowPunct/>
        <w:topLinePunct w:val="0"/>
        <w:bidi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sz w:val="36"/>
          <w:szCs w:val="36"/>
        </w:rPr>
      </w:pPr>
    </w:p>
    <w:p>
      <w:pPr>
        <w:pageBreakBefore w:val="0"/>
        <w:kinsoku/>
        <w:wordWrap/>
        <w:overflowPunct/>
        <w:topLinePunct w:val="0"/>
        <w:bidi w:val="0"/>
        <w:spacing w:line="590" w:lineRule="exact"/>
        <w:ind w:left="0" w:leftChars="0" w:firstLine="0" w:firstLineChars="0"/>
        <w:jc w:val="center"/>
        <w:outlineLvl w:val="1"/>
        <w:rPr>
          <w:rFonts w:hint="eastAsia" w:ascii="仿宋_GB2312" w:eastAsia="仿宋_GB2312"/>
          <w:b/>
          <w:sz w:val="32"/>
          <w:szCs w:val="32"/>
        </w:rPr>
      </w:pPr>
      <w:bookmarkStart w:id="48" w:name="_Toc27487"/>
      <w:r>
        <w:rPr>
          <w:rFonts w:hint="eastAsia" w:ascii="方正小标宋简体" w:hAnsi="方正小标宋简体" w:eastAsia="方正小标宋简体" w:cs="方正小标宋简体"/>
          <w:b w:val="0"/>
          <w:bCs/>
          <w:sz w:val="36"/>
          <w:szCs w:val="36"/>
        </w:rPr>
        <w:t>碳减排支持工具政策</w:t>
      </w:r>
      <w:bookmarkEnd w:id="48"/>
    </w:p>
    <w:p>
      <w:pPr>
        <w:pageBreakBefore w:val="0"/>
        <w:kinsoku/>
        <w:wordWrap/>
        <w:overflowPunct/>
        <w:topLinePunct w:val="0"/>
        <w:bidi w:val="0"/>
        <w:spacing w:line="590" w:lineRule="exact"/>
        <w:ind w:firstLine="640" w:firstLineChars="200"/>
        <w:rPr>
          <w:rFonts w:hint="eastAsia" w:ascii="黑体" w:hAnsi="黑体" w:eastAsia="黑体"/>
          <w:sz w:val="32"/>
          <w:szCs w:val="32"/>
        </w:rPr>
      </w:pP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黑体" w:hAnsi="黑体" w:eastAsia="黑体"/>
          <w:sz w:val="32"/>
          <w:szCs w:val="32"/>
        </w:rPr>
        <w:t>一、服务对象和范围</w:t>
      </w:r>
    </w:p>
    <w:p>
      <w:pPr>
        <w:pageBreakBefore w:val="0"/>
        <w:kinsoku/>
        <w:wordWrap/>
        <w:overflowPunct/>
        <w:topLinePunct w:val="0"/>
        <w:bidi w:val="0"/>
        <w:spacing w:line="590" w:lineRule="exact"/>
        <w:ind w:firstLine="640" w:firstLineChars="200"/>
        <w:rPr>
          <w:rFonts w:hint="eastAsia" w:ascii="仿宋_GB2312" w:eastAsia="仿宋_GB2312"/>
          <w:sz w:val="32"/>
          <w:szCs w:val="32"/>
        </w:rPr>
      </w:pPr>
      <w:r>
        <w:rPr>
          <w:rFonts w:hint="eastAsia" w:ascii="仿宋_GB2312" w:eastAsia="仿宋_GB2312"/>
          <w:sz w:val="32"/>
          <w:szCs w:val="32"/>
        </w:rPr>
        <w:t>为碳减排重点领域内具有显著碳减排效应的项目提供优惠利率融资。碳减排重点领域包括清洁能源、节能环保和碳减排技术等三个领域。其中，清洁能源包括风力发电、太阳能利用、生物质能源利用、地热能利用、海洋能利用、氢能利用、热泵、高效储能等设施建设和运营，智能电网产品和装备制造，智能电网建设和运用，抽水储能电站建设和运营，大型风电光伏源网荷储一体化项目，应急备用和调峰电源，跨地区清洁电力输送系统，户用分布式光伏整县推进等15个子领域。节能环保包括锅炉（窑炉）节能改造和能效提升、电机系统能效提升、余热余压利用、能量系统优化、绿色照明改造、汽轮发电机组系统能效提升、新型电力系统改造等7个子领域。碳减排技术包括二氧化碳捕集、利用和封存工程建设和运营等子领域。</w:t>
      </w: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黑体" w:hAnsi="黑体" w:eastAsia="黑体"/>
          <w:sz w:val="32"/>
          <w:szCs w:val="32"/>
          <w:lang w:val="en-US" w:eastAsia="zh-CN"/>
        </w:rPr>
        <w:t>二</w:t>
      </w:r>
      <w:r>
        <w:rPr>
          <w:rFonts w:hint="eastAsia" w:ascii="黑体" w:hAnsi="黑体" w:eastAsia="黑体"/>
          <w:sz w:val="32"/>
          <w:szCs w:val="32"/>
        </w:rPr>
        <w:t>、政策名称或政策依据</w:t>
      </w:r>
    </w:p>
    <w:p>
      <w:pPr>
        <w:pageBreakBefore w:val="0"/>
        <w:kinsoku/>
        <w:wordWrap/>
        <w:overflowPunct/>
        <w:topLinePunct w:val="0"/>
        <w:bidi w:val="0"/>
        <w:spacing w:line="590" w:lineRule="exact"/>
        <w:ind w:firstLine="640" w:firstLineChars="200"/>
        <w:rPr>
          <w:rFonts w:hint="eastAsia" w:ascii="仿宋_GB2312" w:eastAsia="仿宋_GB2312"/>
          <w:sz w:val="32"/>
          <w:szCs w:val="32"/>
        </w:rPr>
      </w:pPr>
      <w:r>
        <w:rPr>
          <w:rFonts w:hint="eastAsia" w:ascii="仿宋_GB2312" w:eastAsia="仿宋_GB2312"/>
          <w:sz w:val="32"/>
          <w:szCs w:val="32"/>
        </w:rPr>
        <w:t>2021年11月15日，中国人民银行出台了《关于设立碳减排支持工具有关事宜的通知》（银发〔2021〕278号），碳减排支持工具实施期暂定为2021年和2022年。</w:t>
      </w: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黑体" w:hAnsi="黑体" w:eastAsia="黑体"/>
          <w:sz w:val="32"/>
          <w:szCs w:val="32"/>
          <w:lang w:val="en-US" w:eastAsia="zh-CN"/>
        </w:rPr>
        <w:t>三</w:t>
      </w:r>
      <w:r>
        <w:rPr>
          <w:rFonts w:hint="eastAsia" w:ascii="黑体" w:hAnsi="黑体" w:eastAsia="黑体"/>
          <w:sz w:val="32"/>
          <w:szCs w:val="32"/>
        </w:rPr>
        <w:t>、政策措施内容及标准</w:t>
      </w:r>
    </w:p>
    <w:p>
      <w:pPr>
        <w:pageBreakBefore w:val="0"/>
        <w:kinsoku/>
        <w:wordWrap/>
        <w:overflowPunct/>
        <w:topLinePunct w:val="0"/>
        <w:bidi w:val="0"/>
        <w:spacing w:line="590" w:lineRule="exact"/>
        <w:ind w:firstLine="640" w:firstLineChars="200"/>
        <w:rPr>
          <w:rFonts w:hint="eastAsia" w:ascii="仿宋_GB2312" w:eastAsia="仿宋_GB2312"/>
          <w:sz w:val="32"/>
          <w:szCs w:val="32"/>
        </w:rPr>
      </w:pPr>
      <w:r>
        <w:rPr>
          <w:rFonts w:hint="eastAsia" w:ascii="仿宋_GB2312" w:eastAsia="仿宋_GB2312"/>
          <w:sz w:val="32"/>
          <w:szCs w:val="32"/>
        </w:rPr>
        <w:t>对市场主体自2021年7月1日以来获得的碳减排贷款，人民银行按照金融机构发放碳减排贷款本金的60%向其提供工具资金，期限1年，利率为1.75%。贷款涉及的项目应为属于碳减排重点领域内具有显著碳减排效应的项目，贷款利率与发放时最近1次公布的同期限档次贷款市场报价利率大致持平，其中1至5年期贷款利率不超过5年期以上贷款市场报价利率。支持金融机构范围：暂定为国家开发银行、政策性银行、国有商业银行、中国邮政储蓄银行、股份制商业银行等21家全国性金融机构。</w:t>
      </w: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黑体" w:hAnsi="黑体" w:eastAsia="黑体"/>
          <w:sz w:val="32"/>
          <w:szCs w:val="32"/>
          <w:lang w:val="en-US" w:eastAsia="zh-CN"/>
        </w:rPr>
        <w:t>四</w:t>
      </w:r>
      <w:r>
        <w:rPr>
          <w:rFonts w:hint="eastAsia" w:ascii="黑体" w:hAnsi="黑体" w:eastAsia="黑体"/>
          <w:sz w:val="32"/>
          <w:szCs w:val="32"/>
        </w:rPr>
        <w:t>、申报办理流程</w:t>
      </w:r>
    </w:p>
    <w:p>
      <w:pPr>
        <w:pageBreakBefore w:val="0"/>
        <w:kinsoku/>
        <w:wordWrap/>
        <w:overflowPunct/>
        <w:topLinePunct w:val="0"/>
        <w:bidi w:val="0"/>
        <w:spacing w:line="590" w:lineRule="exact"/>
        <w:ind w:firstLine="640" w:firstLineChars="200"/>
        <w:rPr>
          <w:rFonts w:hint="eastAsia" w:ascii="仿宋_GB2312" w:eastAsia="仿宋_GB2312"/>
          <w:sz w:val="32"/>
          <w:szCs w:val="32"/>
        </w:rPr>
      </w:pPr>
      <w:r>
        <w:rPr>
          <w:rFonts w:hint="eastAsia" w:ascii="仿宋_GB2312" w:eastAsia="仿宋_GB2312"/>
          <w:sz w:val="32"/>
          <w:szCs w:val="32"/>
        </w:rPr>
        <w:t>属于支持重点领域的项目所属企业可以主动与相关金融机构联系对接，申请低利率贷款。</w:t>
      </w:r>
    </w:p>
    <w:p>
      <w:pPr>
        <w:pageBreakBefore w:val="0"/>
        <w:kinsoku/>
        <w:wordWrap/>
        <w:overflowPunct/>
        <w:topLinePunct w:val="0"/>
        <w:bidi w:val="0"/>
        <w:spacing w:line="590" w:lineRule="exact"/>
        <w:ind w:firstLine="643" w:firstLineChars="200"/>
        <w:rPr>
          <w:rFonts w:hint="eastAsia" w:ascii="仿宋_GB2312" w:eastAsia="仿宋_GB2312"/>
          <w:b/>
          <w:sz w:val="32"/>
          <w:szCs w:val="32"/>
        </w:rPr>
      </w:pPr>
      <w:r>
        <w:rPr>
          <w:rFonts w:hint="eastAsia" w:ascii="仿宋_GB2312" w:eastAsia="仿宋_GB2312"/>
          <w:b/>
          <w:sz w:val="32"/>
          <w:szCs w:val="32"/>
        </w:rPr>
        <w:t>主办单位及联系电话：</w:t>
      </w:r>
    </w:p>
    <w:tbl>
      <w:tblPr>
        <w:tblStyle w:val="21"/>
        <w:tblpPr w:leftFromText="180" w:rightFromText="180" w:vertAnchor="text" w:horzAnchor="page" w:tblpXSpec="center" w:tblpY="539"/>
        <w:tblOverlap w:val="never"/>
        <w:tblW w:w="0" w:type="auto"/>
        <w:jc w:val="center"/>
        <w:tblLayout w:type="fixed"/>
        <w:tblCellMar>
          <w:top w:w="0" w:type="dxa"/>
          <w:left w:w="108" w:type="dxa"/>
          <w:bottom w:w="0" w:type="dxa"/>
          <w:right w:w="108" w:type="dxa"/>
        </w:tblCellMar>
      </w:tblPr>
      <w:tblGrid>
        <w:gridCol w:w="3567"/>
        <w:gridCol w:w="1824"/>
        <w:gridCol w:w="2084"/>
      </w:tblGrid>
      <w:tr>
        <w:tblPrEx>
          <w:tblCellMar>
            <w:top w:w="0" w:type="dxa"/>
            <w:left w:w="108" w:type="dxa"/>
            <w:bottom w:w="0" w:type="dxa"/>
            <w:right w:w="108" w:type="dxa"/>
          </w:tblCellMar>
        </w:tblPrEx>
        <w:trPr>
          <w:trHeight w:val="567" w:hRule="exact"/>
          <w:jc w:val="center"/>
        </w:trPr>
        <w:tc>
          <w:tcPr>
            <w:tcW w:w="3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黑体" w:hAnsi="黑体" w:eastAsia="黑体" w:cs="宋体"/>
                <w:kern w:val="0"/>
                <w:sz w:val="28"/>
                <w:szCs w:val="28"/>
              </w:rPr>
            </w:pPr>
            <w:r>
              <w:rPr>
                <w:rFonts w:hint="eastAsia" w:ascii="黑体" w:hAnsi="黑体" w:eastAsia="黑体" w:cs="宋体"/>
                <w:kern w:val="0"/>
                <w:sz w:val="28"/>
                <w:szCs w:val="28"/>
              </w:rPr>
              <w:t>机构名称</w:t>
            </w:r>
          </w:p>
        </w:tc>
        <w:tc>
          <w:tcPr>
            <w:tcW w:w="18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黑体" w:hAnsi="黑体" w:eastAsia="黑体" w:cs="宋体"/>
                <w:kern w:val="0"/>
                <w:sz w:val="28"/>
                <w:szCs w:val="28"/>
              </w:rPr>
            </w:pPr>
            <w:r>
              <w:rPr>
                <w:rFonts w:hint="eastAsia" w:ascii="黑体" w:hAnsi="黑体" w:eastAsia="黑体" w:cs="宋体"/>
                <w:kern w:val="0"/>
                <w:sz w:val="28"/>
                <w:szCs w:val="28"/>
              </w:rPr>
              <w:t>联系人姓名</w:t>
            </w:r>
          </w:p>
        </w:tc>
        <w:tc>
          <w:tcPr>
            <w:tcW w:w="208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黑体" w:hAnsi="黑体" w:eastAsia="黑体" w:cs="宋体"/>
                <w:kern w:val="0"/>
                <w:sz w:val="28"/>
                <w:szCs w:val="28"/>
              </w:rPr>
            </w:pPr>
            <w:r>
              <w:rPr>
                <w:rFonts w:hint="eastAsia" w:ascii="黑体" w:hAnsi="黑体" w:eastAsia="黑体" w:cs="宋体"/>
                <w:kern w:val="0"/>
                <w:sz w:val="28"/>
                <w:szCs w:val="28"/>
              </w:rPr>
              <w:t>电话</w:t>
            </w:r>
          </w:p>
        </w:tc>
      </w:tr>
      <w:tr>
        <w:tblPrEx>
          <w:tblCellMar>
            <w:top w:w="0" w:type="dxa"/>
            <w:left w:w="108" w:type="dxa"/>
            <w:bottom w:w="0" w:type="dxa"/>
            <w:right w:w="108" w:type="dxa"/>
          </w:tblCellMar>
        </w:tblPrEx>
        <w:trPr>
          <w:trHeight w:val="567" w:hRule="exact"/>
          <w:jc w:val="center"/>
        </w:trPr>
        <w:tc>
          <w:tcPr>
            <w:tcW w:w="356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农业发展银行东营市分行</w:t>
            </w:r>
          </w:p>
        </w:tc>
        <w:tc>
          <w:tcPr>
            <w:tcW w:w="182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王君如</w:t>
            </w:r>
          </w:p>
        </w:tc>
        <w:tc>
          <w:tcPr>
            <w:tcW w:w="20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8319055</w:t>
            </w:r>
          </w:p>
        </w:tc>
      </w:tr>
      <w:tr>
        <w:tblPrEx>
          <w:tblCellMar>
            <w:top w:w="0" w:type="dxa"/>
            <w:left w:w="108" w:type="dxa"/>
            <w:bottom w:w="0" w:type="dxa"/>
            <w:right w:w="108" w:type="dxa"/>
          </w:tblCellMar>
        </w:tblPrEx>
        <w:trPr>
          <w:trHeight w:val="567" w:hRule="exact"/>
          <w:jc w:val="center"/>
        </w:trPr>
        <w:tc>
          <w:tcPr>
            <w:tcW w:w="356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工商银行东营分行</w:t>
            </w:r>
          </w:p>
        </w:tc>
        <w:tc>
          <w:tcPr>
            <w:tcW w:w="182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王  朋</w:t>
            </w:r>
          </w:p>
        </w:tc>
        <w:tc>
          <w:tcPr>
            <w:tcW w:w="20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8307260</w:t>
            </w:r>
          </w:p>
        </w:tc>
      </w:tr>
      <w:tr>
        <w:tblPrEx>
          <w:tblCellMar>
            <w:top w:w="0" w:type="dxa"/>
            <w:left w:w="108" w:type="dxa"/>
            <w:bottom w:w="0" w:type="dxa"/>
            <w:right w:w="108" w:type="dxa"/>
          </w:tblCellMar>
        </w:tblPrEx>
        <w:trPr>
          <w:trHeight w:val="567" w:hRule="exact"/>
          <w:jc w:val="center"/>
        </w:trPr>
        <w:tc>
          <w:tcPr>
            <w:tcW w:w="356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农业银行东营分行</w:t>
            </w:r>
          </w:p>
        </w:tc>
        <w:tc>
          <w:tcPr>
            <w:tcW w:w="182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王松辉</w:t>
            </w:r>
          </w:p>
        </w:tc>
        <w:tc>
          <w:tcPr>
            <w:tcW w:w="20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6629032</w:t>
            </w:r>
          </w:p>
        </w:tc>
      </w:tr>
      <w:tr>
        <w:tblPrEx>
          <w:tblCellMar>
            <w:top w:w="0" w:type="dxa"/>
            <w:left w:w="108" w:type="dxa"/>
            <w:bottom w:w="0" w:type="dxa"/>
            <w:right w:w="108" w:type="dxa"/>
          </w:tblCellMar>
        </w:tblPrEx>
        <w:trPr>
          <w:trHeight w:val="567" w:hRule="exact"/>
          <w:jc w:val="center"/>
        </w:trPr>
        <w:tc>
          <w:tcPr>
            <w:tcW w:w="356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中国银行东营分行</w:t>
            </w:r>
          </w:p>
        </w:tc>
        <w:tc>
          <w:tcPr>
            <w:tcW w:w="182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马永康</w:t>
            </w:r>
          </w:p>
        </w:tc>
        <w:tc>
          <w:tcPr>
            <w:tcW w:w="20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8928059</w:t>
            </w:r>
          </w:p>
        </w:tc>
      </w:tr>
      <w:tr>
        <w:tblPrEx>
          <w:tblCellMar>
            <w:top w:w="0" w:type="dxa"/>
            <w:left w:w="108" w:type="dxa"/>
            <w:bottom w:w="0" w:type="dxa"/>
            <w:right w:w="108" w:type="dxa"/>
          </w:tblCellMar>
        </w:tblPrEx>
        <w:trPr>
          <w:trHeight w:val="567" w:hRule="exact"/>
          <w:jc w:val="center"/>
        </w:trPr>
        <w:tc>
          <w:tcPr>
            <w:tcW w:w="356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建设银行东营分行</w:t>
            </w:r>
          </w:p>
        </w:tc>
        <w:tc>
          <w:tcPr>
            <w:tcW w:w="182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王凯凯</w:t>
            </w:r>
          </w:p>
        </w:tc>
        <w:tc>
          <w:tcPr>
            <w:tcW w:w="20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8225337</w:t>
            </w:r>
          </w:p>
        </w:tc>
      </w:tr>
      <w:tr>
        <w:tblPrEx>
          <w:tblCellMar>
            <w:top w:w="0" w:type="dxa"/>
            <w:left w:w="108" w:type="dxa"/>
            <w:bottom w:w="0" w:type="dxa"/>
            <w:right w:w="108" w:type="dxa"/>
          </w:tblCellMar>
        </w:tblPrEx>
        <w:trPr>
          <w:trHeight w:val="567" w:hRule="exact"/>
          <w:jc w:val="center"/>
        </w:trPr>
        <w:tc>
          <w:tcPr>
            <w:tcW w:w="356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交通银行东营分行</w:t>
            </w:r>
          </w:p>
        </w:tc>
        <w:tc>
          <w:tcPr>
            <w:tcW w:w="182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段立宁</w:t>
            </w:r>
          </w:p>
        </w:tc>
        <w:tc>
          <w:tcPr>
            <w:tcW w:w="20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8831797</w:t>
            </w:r>
          </w:p>
        </w:tc>
      </w:tr>
      <w:tr>
        <w:tblPrEx>
          <w:tblCellMar>
            <w:top w:w="0" w:type="dxa"/>
            <w:left w:w="108" w:type="dxa"/>
            <w:bottom w:w="0" w:type="dxa"/>
            <w:right w:w="108" w:type="dxa"/>
          </w:tblCellMar>
        </w:tblPrEx>
        <w:trPr>
          <w:trHeight w:val="567" w:hRule="exact"/>
          <w:jc w:val="center"/>
        </w:trPr>
        <w:tc>
          <w:tcPr>
            <w:tcW w:w="356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邮政储蓄银行东营市分行</w:t>
            </w:r>
          </w:p>
        </w:tc>
        <w:tc>
          <w:tcPr>
            <w:tcW w:w="182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曲星吉</w:t>
            </w:r>
          </w:p>
        </w:tc>
        <w:tc>
          <w:tcPr>
            <w:tcW w:w="20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6377733</w:t>
            </w:r>
          </w:p>
        </w:tc>
      </w:tr>
      <w:tr>
        <w:tblPrEx>
          <w:tblCellMar>
            <w:top w:w="0" w:type="dxa"/>
            <w:left w:w="108" w:type="dxa"/>
            <w:bottom w:w="0" w:type="dxa"/>
            <w:right w:w="108" w:type="dxa"/>
          </w:tblCellMar>
        </w:tblPrEx>
        <w:trPr>
          <w:trHeight w:val="567" w:hRule="exact"/>
          <w:jc w:val="center"/>
        </w:trPr>
        <w:tc>
          <w:tcPr>
            <w:tcW w:w="356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恒丰银行东营分行</w:t>
            </w:r>
          </w:p>
        </w:tc>
        <w:tc>
          <w:tcPr>
            <w:tcW w:w="182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刘瑞枝</w:t>
            </w:r>
          </w:p>
        </w:tc>
        <w:tc>
          <w:tcPr>
            <w:tcW w:w="20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7765051</w:t>
            </w:r>
          </w:p>
        </w:tc>
      </w:tr>
      <w:tr>
        <w:tblPrEx>
          <w:tblCellMar>
            <w:top w:w="0" w:type="dxa"/>
            <w:left w:w="108" w:type="dxa"/>
            <w:bottom w:w="0" w:type="dxa"/>
            <w:right w:w="108" w:type="dxa"/>
          </w:tblCellMar>
        </w:tblPrEx>
        <w:trPr>
          <w:trHeight w:val="567" w:hRule="exact"/>
          <w:jc w:val="center"/>
        </w:trPr>
        <w:tc>
          <w:tcPr>
            <w:tcW w:w="356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招商银行东营分行</w:t>
            </w:r>
          </w:p>
        </w:tc>
        <w:tc>
          <w:tcPr>
            <w:tcW w:w="182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綦  娜</w:t>
            </w:r>
          </w:p>
        </w:tc>
        <w:tc>
          <w:tcPr>
            <w:tcW w:w="20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8655003</w:t>
            </w:r>
          </w:p>
        </w:tc>
      </w:tr>
      <w:tr>
        <w:tblPrEx>
          <w:tblCellMar>
            <w:top w:w="0" w:type="dxa"/>
            <w:left w:w="108" w:type="dxa"/>
            <w:bottom w:w="0" w:type="dxa"/>
            <w:right w:w="108" w:type="dxa"/>
          </w:tblCellMar>
        </w:tblPrEx>
        <w:trPr>
          <w:trHeight w:val="567" w:hRule="exact"/>
          <w:jc w:val="center"/>
        </w:trPr>
        <w:tc>
          <w:tcPr>
            <w:tcW w:w="356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华夏银行东营分行</w:t>
            </w:r>
          </w:p>
        </w:tc>
        <w:tc>
          <w:tcPr>
            <w:tcW w:w="182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马春辉</w:t>
            </w:r>
          </w:p>
        </w:tc>
        <w:tc>
          <w:tcPr>
            <w:tcW w:w="20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8178952</w:t>
            </w:r>
          </w:p>
        </w:tc>
      </w:tr>
      <w:tr>
        <w:tblPrEx>
          <w:tblCellMar>
            <w:top w:w="0" w:type="dxa"/>
            <w:left w:w="108" w:type="dxa"/>
            <w:bottom w:w="0" w:type="dxa"/>
            <w:right w:w="108" w:type="dxa"/>
          </w:tblCellMar>
        </w:tblPrEx>
        <w:trPr>
          <w:trHeight w:val="567" w:hRule="exact"/>
          <w:jc w:val="center"/>
        </w:trPr>
        <w:tc>
          <w:tcPr>
            <w:tcW w:w="356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浦发银行东营分行</w:t>
            </w:r>
          </w:p>
        </w:tc>
        <w:tc>
          <w:tcPr>
            <w:tcW w:w="182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王  敏</w:t>
            </w:r>
          </w:p>
        </w:tc>
        <w:tc>
          <w:tcPr>
            <w:tcW w:w="20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8075871</w:t>
            </w:r>
          </w:p>
        </w:tc>
      </w:tr>
      <w:tr>
        <w:tblPrEx>
          <w:tblCellMar>
            <w:top w:w="0" w:type="dxa"/>
            <w:left w:w="108" w:type="dxa"/>
            <w:bottom w:w="0" w:type="dxa"/>
            <w:right w:w="108" w:type="dxa"/>
          </w:tblCellMar>
        </w:tblPrEx>
        <w:trPr>
          <w:trHeight w:val="567" w:hRule="exact"/>
          <w:jc w:val="center"/>
        </w:trPr>
        <w:tc>
          <w:tcPr>
            <w:tcW w:w="3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浙商银行东营分行</w:t>
            </w:r>
          </w:p>
        </w:tc>
        <w:tc>
          <w:tcPr>
            <w:tcW w:w="18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郝雯珊</w:t>
            </w:r>
          </w:p>
        </w:tc>
        <w:tc>
          <w:tcPr>
            <w:tcW w:w="208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7763026</w:t>
            </w:r>
          </w:p>
        </w:tc>
      </w:tr>
      <w:tr>
        <w:tblPrEx>
          <w:tblCellMar>
            <w:top w:w="0" w:type="dxa"/>
            <w:left w:w="108" w:type="dxa"/>
            <w:bottom w:w="0" w:type="dxa"/>
            <w:right w:w="108" w:type="dxa"/>
          </w:tblCellMar>
        </w:tblPrEx>
        <w:trPr>
          <w:trHeight w:val="567" w:hRule="exact"/>
          <w:jc w:val="center"/>
        </w:trPr>
        <w:tc>
          <w:tcPr>
            <w:tcW w:w="3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中信银行东营分行</w:t>
            </w:r>
          </w:p>
        </w:tc>
        <w:tc>
          <w:tcPr>
            <w:tcW w:w="18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纪艳红</w:t>
            </w:r>
          </w:p>
        </w:tc>
        <w:tc>
          <w:tcPr>
            <w:tcW w:w="208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7922269</w:t>
            </w:r>
          </w:p>
        </w:tc>
      </w:tr>
      <w:tr>
        <w:tblPrEx>
          <w:tblCellMar>
            <w:top w:w="0" w:type="dxa"/>
            <w:left w:w="108" w:type="dxa"/>
            <w:bottom w:w="0" w:type="dxa"/>
            <w:right w:w="108" w:type="dxa"/>
          </w:tblCellMar>
        </w:tblPrEx>
        <w:trPr>
          <w:trHeight w:val="567" w:hRule="exact"/>
          <w:jc w:val="center"/>
        </w:trPr>
        <w:tc>
          <w:tcPr>
            <w:tcW w:w="356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民生银行东营分行</w:t>
            </w:r>
          </w:p>
        </w:tc>
        <w:tc>
          <w:tcPr>
            <w:tcW w:w="182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姚  远</w:t>
            </w:r>
          </w:p>
        </w:tc>
        <w:tc>
          <w:tcPr>
            <w:tcW w:w="20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8100384</w:t>
            </w:r>
          </w:p>
        </w:tc>
      </w:tr>
      <w:tr>
        <w:tblPrEx>
          <w:tblCellMar>
            <w:top w:w="0" w:type="dxa"/>
            <w:left w:w="108" w:type="dxa"/>
            <w:bottom w:w="0" w:type="dxa"/>
            <w:right w:w="108" w:type="dxa"/>
          </w:tblCellMar>
        </w:tblPrEx>
        <w:trPr>
          <w:trHeight w:val="567" w:hRule="exact"/>
          <w:jc w:val="center"/>
        </w:trPr>
        <w:tc>
          <w:tcPr>
            <w:tcW w:w="356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光大银行东营分行</w:t>
            </w:r>
          </w:p>
        </w:tc>
        <w:tc>
          <w:tcPr>
            <w:tcW w:w="182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李振鹏</w:t>
            </w:r>
          </w:p>
        </w:tc>
        <w:tc>
          <w:tcPr>
            <w:tcW w:w="20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7279110</w:t>
            </w:r>
          </w:p>
        </w:tc>
      </w:tr>
      <w:tr>
        <w:tblPrEx>
          <w:tblCellMar>
            <w:top w:w="0" w:type="dxa"/>
            <w:left w:w="108" w:type="dxa"/>
            <w:bottom w:w="0" w:type="dxa"/>
            <w:right w:w="108" w:type="dxa"/>
          </w:tblCellMar>
        </w:tblPrEx>
        <w:trPr>
          <w:trHeight w:val="567" w:hRule="exact"/>
          <w:jc w:val="center"/>
        </w:trPr>
        <w:tc>
          <w:tcPr>
            <w:tcW w:w="356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兴业银行东营分行</w:t>
            </w:r>
          </w:p>
        </w:tc>
        <w:tc>
          <w:tcPr>
            <w:tcW w:w="182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李  慧</w:t>
            </w:r>
          </w:p>
        </w:tc>
        <w:tc>
          <w:tcPr>
            <w:tcW w:w="20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8191910</w:t>
            </w:r>
          </w:p>
        </w:tc>
      </w:tr>
      <w:tr>
        <w:tblPrEx>
          <w:tblCellMar>
            <w:top w:w="0" w:type="dxa"/>
            <w:left w:w="108" w:type="dxa"/>
            <w:bottom w:w="0" w:type="dxa"/>
            <w:right w:w="108" w:type="dxa"/>
          </w:tblCellMar>
        </w:tblPrEx>
        <w:trPr>
          <w:trHeight w:val="567" w:hRule="exact"/>
          <w:jc w:val="center"/>
        </w:trPr>
        <w:tc>
          <w:tcPr>
            <w:tcW w:w="356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平安银行东营分行</w:t>
            </w:r>
          </w:p>
        </w:tc>
        <w:tc>
          <w:tcPr>
            <w:tcW w:w="182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张  傲</w:t>
            </w:r>
          </w:p>
        </w:tc>
        <w:tc>
          <w:tcPr>
            <w:tcW w:w="20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7076939</w:t>
            </w:r>
          </w:p>
        </w:tc>
      </w:tr>
      <w:tr>
        <w:tblPrEx>
          <w:tblCellMar>
            <w:top w:w="0" w:type="dxa"/>
            <w:left w:w="108" w:type="dxa"/>
            <w:bottom w:w="0" w:type="dxa"/>
            <w:right w:w="108" w:type="dxa"/>
          </w:tblCellMar>
        </w:tblPrEx>
        <w:trPr>
          <w:trHeight w:val="567" w:hRule="exact"/>
          <w:jc w:val="center"/>
        </w:trPr>
        <w:tc>
          <w:tcPr>
            <w:tcW w:w="356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广发银行东营分行</w:t>
            </w:r>
          </w:p>
        </w:tc>
        <w:tc>
          <w:tcPr>
            <w:tcW w:w="182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孙  倩</w:t>
            </w:r>
          </w:p>
        </w:tc>
        <w:tc>
          <w:tcPr>
            <w:tcW w:w="208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kern w:val="0"/>
                <w:sz w:val="24"/>
                <w:szCs w:val="24"/>
              </w:rPr>
            </w:pPr>
            <w:r>
              <w:rPr>
                <w:rFonts w:hint="eastAsia" w:ascii="宋体" w:hAnsi="宋体" w:cs="宋体"/>
                <w:kern w:val="0"/>
                <w:sz w:val="24"/>
                <w:szCs w:val="24"/>
              </w:rPr>
              <w:t>6098713</w:t>
            </w:r>
          </w:p>
        </w:tc>
      </w:tr>
    </w:tbl>
    <w:p>
      <w:pPr>
        <w:pStyle w:val="2"/>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仿宋_GB2312" w:hAnsi="仿宋_GB2312" w:eastAsia="仿宋_GB2312" w:cs="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仿宋_GB2312" w:hAnsi="仿宋_GB2312" w:eastAsia="仿宋_GB2312" w:cs="仿宋_GB2312"/>
          <w:color w:val="auto"/>
          <w:kern w:val="2"/>
          <w:sz w:val="32"/>
          <w:szCs w:val="32"/>
          <w:lang w:val="en-US" w:eastAsia="zh-CN" w:bidi="ar-SA"/>
        </w:rPr>
        <w:sectPr>
          <w:pgSz w:w="11906" w:h="16838"/>
          <w:pgMar w:top="1587" w:right="1474" w:bottom="147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ageBreakBefore w:val="0"/>
        <w:kinsoku/>
        <w:wordWrap/>
        <w:overflowPunct/>
        <w:topLinePunct w:val="0"/>
        <w:bidi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sz w:val="36"/>
          <w:szCs w:val="36"/>
        </w:rPr>
      </w:pPr>
    </w:p>
    <w:p>
      <w:pPr>
        <w:pageBreakBefore w:val="0"/>
        <w:kinsoku/>
        <w:wordWrap/>
        <w:overflowPunct/>
        <w:topLinePunct w:val="0"/>
        <w:bidi w:val="0"/>
        <w:spacing w:line="590" w:lineRule="exact"/>
        <w:ind w:left="0" w:leftChars="0" w:firstLine="0" w:firstLineChars="0"/>
        <w:jc w:val="center"/>
        <w:outlineLvl w:val="1"/>
        <w:rPr>
          <w:rFonts w:hint="eastAsia" w:ascii="仿宋_GB2312" w:eastAsia="仿宋_GB2312"/>
          <w:b/>
          <w:sz w:val="32"/>
          <w:szCs w:val="32"/>
        </w:rPr>
      </w:pPr>
      <w:bookmarkStart w:id="49" w:name="_Toc16938"/>
      <w:r>
        <w:rPr>
          <w:rFonts w:hint="eastAsia" w:ascii="方正小标宋简体" w:hAnsi="方正小标宋简体" w:eastAsia="方正小标宋简体" w:cs="方正小标宋简体"/>
          <w:b w:val="0"/>
          <w:bCs/>
          <w:sz w:val="36"/>
          <w:szCs w:val="36"/>
        </w:rPr>
        <w:t>支持煤炭清洁高效利用专项再贷款政策</w:t>
      </w:r>
      <w:bookmarkEnd w:id="49"/>
    </w:p>
    <w:p>
      <w:pPr>
        <w:pageBreakBefore w:val="0"/>
        <w:kinsoku/>
        <w:wordWrap/>
        <w:overflowPunct/>
        <w:topLinePunct w:val="0"/>
        <w:bidi w:val="0"/>
        <w:spacing w:line="590" w:lineRule="exact"/>
        <w:ind w:firstLine="640" w:firstLineChars="200"/>
        <w:rPr>
          <w:rFonts w:hint="eastAsia" w:ascii="黑体" w:hAnsi="黑体" w:eastAsia="黑体"/>
          <w:sz w:val="32"/>
          <w:szCs w:val="32"/>
        </w:rPr>
      </w:pP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黑体" w:hAnsi="黑体" w:eastAsia="黑体"/>
          <w:sz w:val="32"/>
          <w:szCs w:val="32"/>
        </w:rPr>
        <w:t>一、服务对象和范围</w:t>
      </w:r>
    </w:p>
    <w:p>
      <w:pPr>
        <w:pageBreakBefore w:val="0"/>
        <w:kinsoku/>
        <w:wordWrap/>
        <w:overflowPunct/>
        <w:topLinePunct w:val="0"/>
        <w:bidi w:val="0"/>
        <w:spacing w:line="59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煤炭安全高效绿色智能开采、煤炭清洁高效加工、煤炭清洁高效利用、工业清洁燃烧和清洁供热、民用清洁采暖、煤炭资源综合利用、煤炭气开发利用</w:t>
      </w:r>
      <w:r>
        <w:rPr>
          <w:rFonts w:hint="eastAsia" w:ascii="仿宋_GB2312" w:hAnsi="仿宋_GB2312" w:eastAsia="仿宋_GB2312" w:cs="仿宋_GB2312"/>
          <w:sz w:val="32"/>
          <w:szCs w:val="32"/>
        </w:rPr>
        <w:t>、煤炭安全生产和储备、煤电企业电煤保供</w:t>
      </w:r>
      <w:r>
        <w:rPr>
          <w:rFonts w:hint="eastAsia" w:ascii="仿宋_GB2312" w:hAnsi="黑体" w:eastAsia="仿宋_GB2312"/>
          <w:sz w:val="32"/>
          <w:szCs w:val="32"/>
        </w:rPr>
        <w:t>等重点领域企业。</w:t>
      </w: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黑体" w:hAnsi="黑体" w:eastAsia="黑体"/>
          <w:sz w:val="32"/>
          <w:szCs w:val="32"/>
          <w:lang w:val="en-US" w:eastAsia="zh-CN"/>
        </w:rPr>
        <w:t>二</w:t>
      </w:r>
      <w:r>
        <w:rPr>
          <w:rFonts w:hint="eastAsia" w:ascii="黑体" w:hAnsi="黑体" w:eastAsia="黑体"/>
          <w:sz w:val="32"/>
          <w:szCs w:val="32"/>
        </w:rPr>
        <w:t>、政策名称或政策依据</w:t>
      </w:r>
    </w:p>
    <w:p>
      <w:pPr>
        <w:pageBreakBefore w:val="0"/>
        <w:kinsoku/>
        <w:wordWrap/>
        <w:overflowPunct/>
        <w:topLinePunct w:val="0"/>
        <w:bidi w:val="0"/>
        <w:spacing w:line="590" w:lineRule="exact"/>
        <w:ind w:firstLine="640" w:firstLineChars="200"/>
        <w:rPr>
          <w:rFonts w:hint="eastAsia" w:ascii="仿宋_GB2312" w:hAnsi="仿宋_GB2312" w:eastAsia="仿宋_GB2312" w:cs="仿宋_GB2312"/>
          <w:sz w:val="32"/>
          <w:szCs w:val="32"/>
        </w:rPr>
      </w:pPr>
      <w:r>
        <w:rPr>
          <w:rFonts w:hint="eastAsia" w:ascii="仿宋_GB2312" w:eastAsia="仿宋_GB2312"/>
          <w:sz w:val="32"/>
          <w:szCs w:val="32"/>
        </w:rPr>
        <w:t>2021年11月21日，中国人民银行、发展改革委、能源局出台了《关于设立支持煤炭清洁高效利用专项再贷款有关事宜的通知》（银发〔2021〕289号），</w:t>
      </w:r>
      <w:r>
        <w:rPr>
          <w:rFonts w:hint="eastAsia" w:ascii="仿宋_GB2312" w:hAnsi="仿宋_GB2312" w:eastAsia="仿宋_GB2312" w:cs="仿宋_GB2312"/>
          <w:sz w:val="32"/>
          <w:szCs w:val="32"/>
        </w:rPr>
        <w:t>专项再贷款政策执行至2022年末。</w:t>
      </w: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黑体" w:hAnsi="黑体" w:eastAsia="黑体"/>
          <w:sz w:val="32"/>
          <w:szCs w:val="32"/>
          <w:lang w:val="en-US" w:eastAsia="zh-CN"/>
        </w:rPr>
        <w:t>三</w:t>
      </w:r>
      <w:r>
        <w:rPr>
          <w:rFonts w:hint="eastAsia" w:ascii="黑体" w:hAnsi="黑体" w:eastAsia="黑体"/>
          <w:sz w:val="32"/>
          <w:szCs w:val="32"/>
        </w:rPr>
        <w:t>、政策措施内容及标准</w:t>
      </w:r>
    </w:p>
    <w:p>
      <w:pPr>
        <w:pageBreakBefore w:val="0"/>
        <w:kinsoku/>
        <w:wordWrap/>
        <w:overflowPunct/>
        <w:topLinePunct w:val="0"/>
        <w:bidi w:val="0"/>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点领域市场主体可向国家开发银行、进出口银行、中国工商银行、中国农业银行、中国银行、中国建设银行、交通银行等7家专项再贷款发放对象申请低利率贷款。贷款利率与发放时最近1次公布的同期限同档次贷款市场报价利率大致持平，其中，1至5年期贷款利率不超过5年期以上贷款市场报价利率。人民银行对金融机构发放的支持煤炭清洁高效利用领域贷款提供优惠资金支持。专项再贷款额度为2000亿元，利率1.75%，期限1年，可展期两次，展期利率不变。</w:t>
      </w: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黑体" w:hAnsi="黑体" w:eastAsia="黑体"/>
          <w:sz w:val="32"/>
          <w:szCs w:val="32"/>
          <w:lang w:val="en-US" w:eastAsia="zh-CN"/>
        </w:rPr>
        <w:t>四</w:t>
      </w:r>
      <w:r>
        <w:rPr>
          <w:rFonts w:hint="eastAsia" w:ascii="黑体" w:hAnsi="黑体" w:eastAsia="黑体"/>
          <w:sz w:val="32"/>
          <w:szCs w:val="32"/>
        </w:rPr>
        <w:t>、申报办理流程</w:t>
      </w:r>
    </w:p>
    <w:p>
      <w:pPr>
        <w:pageBreakBefore w:val="0"/>
        <w:kinsoku/>
        <w:wordWrap/>
        <w:overflowPunct/>
        <w:topLinePunct w:val="0"/>
        <w:bidi w:val="0"/>
        <w:spacing w:line="590" w:lineRule="exact"/>
        <w:ind w:firstLine="640" w:firstLineChars="200"/>
        <w:rPr>
          <w:rFonts w:hint="eastAsia" w:ascii="仿宋_GB2312" w:eastAsia="仿宋_GB2312"/>
          <w:sz w:val="32"/>
          <w:szCs w:val="32"/>
        </w:rPr>
      </w:pPr>
      <w:r>
        <w:rPr>
          <w:rFonts w:hint="eastAsia" w:ascii="仿宋_GB2312" w:eastAsia="仿宋_GB2312"/>
          <w:sz w:val="32"/>
          <w:szCs w:val="32"/>
        </w:rPr>
        <w:t>属于支持重点领域的项目所属企业可以主动与相关金融机构咨询专员联系对接，申请低利率优惠贷款。</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3" w:firstLineChars="200"/>
        <w:rPr>
          <w:rFonts w:hint="eastAsia" w:ascii="仿宋_GB2312" w:eastAsia="仿宋_GB2312"/>
          <w:b/>
          <w:sz w:val="32"/>
          <w:szCs w:val="32"/>
        </w:rPr>
      </w:pPr>
      <w:r>
        <w:rPr>
          <w:rFonts w:hint="eastAsia" w:ascii="仿宋_GB2312" w:eastAsia="仿宋_GB2312"/>
          <w:b/>
          <w:sz w:val="32"/>
          <w:szCs w:val="32"/>
        </w:rPr>
        <w:t>主办单位及联系电话：</w:t>
      </w:r>
    </w:p>
    <w:tbl>
      <w:tblPr>
        <w:tblStyle w:val="21"/>
        <w:tblW w:w="0" w:type="auto"/>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2"/>
        <w:gridCol w:w="2439"/>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1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宋体"/>
                <w:kern w:val="0"/>
                <w:sz w:val="28"/>
                <w:szCs w:val="28"/>
              </w:rPr>
            </w:pPr>
            <w:r>
              <w:rPr>
                <w:rFonts w:hint="eastAsia" w:ascii="黑体" w:hAnsi="黑体" w:eastAsia="黑体" w:cs="宋体"/>
                <w:kern w:val="0"/>
                <w:sz w:val="28"/>
                <w:szCs w:val="28"/>
              </w:rPr>
              <w:t>机构名称</w:t>
            </w:r>
          </w:p>
        </w:tc>
        <w:tc>
          <w:tcPr>
            <w:tcW w:w="243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宋体"/>
                <w:kern w:val="0"/>
                <w:sz w:val="28"/>
                <w:szCs w:val="28"/>
              </w:rPr>
            </w:pPr>
            <w:r>
              <w:rPr>
                <w:rFonts w:hint="eastAsia" w:ascii="黑体" w:hAnsi="黑体" w:eastAsia="黑体" w:cs="宋体"/>
                <w:kern w:val="0"/>
                <w:sz w:val="28"/>
                <w:szCs w:val="28"/>
              </w:rPr>
              <w:t>联系人姓名</w:t>
            </w:r>
          </w:p>
        </w:tc>
        <w:tc>
          <w:tcPr>
            <w:tcW w:w="208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宋体"/>
                <w:kern w:val="0"/>
                <w:sz w:val="28"/>
                <w:szCs w:val="28"/>
              </w:rPr>
            </w:pPr>
            <w:r>
              <w:rPr>
                <w:rFonts w:hint="eastAsia" w:ascii="黑体" w:hAnsi="黑体" w:eastAsia="黑体" w:cs="宋体"/>
                <w:kern w:val="0"/>
                <w:sz w:val="28"/>
                <w:szCs w:val="2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1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工商银行东营分行</w:t>
            </w:r>
          </w:p>
        </w:tc>
        <w:tc>
          <w:tcPr>
            <w:tcW w:w="243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王  朋</w:t>
            </w:r>
          </w:p>
        </w:tc>
        <w:tc>
          <w:tcPr>
            <w:tcW w:w="208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8307260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1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农业银行东营分行</w:t>
            </w:r>
          </w:p>
        </w:tc>
        <w:tc>
          <w:tcPr>
            <w:tcW w:w="243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王松辉</w:t>
            </w:r>
          </w:p>
        </w:tc>
        <w:tc>
          <w:tcPr>
            <w:tcW w:w="208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6629032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1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中国银行东营分行</w:t>
            </w:r>
          </w:p>
        </w:tc>
        <w:tc>
          <w:tcPr>
            <w:tcW w:w="243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马永康</w:t>
            </w:r>
          </w:p>
        </w:tc>
        <w:tc>
          <w:tcPr>
            <w:tcW w:w="208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8928059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1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建设银行东营分行</w:t>
            </w:r>
          </w:p>
        </w:tc>
        <w:tc>
          <w:tcPr>
            <w:tcW w:w="243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王凯凯</w:t>
            </w:r>
          </w:p>
        </w:tc>
        <w:tc>
          <w:tcPr>
            <w:tcW w:w="208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8225337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1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交通银行东营分行</w:t>
            </w:r>
          </w:p>
        </w:tc>
        <w:tc>
          <w:tcPr>
            <w:tcW w:w="243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段立宁</w:t>
            </w:r>
          </w:p>
        </w:tc>
        <w:tc>
          <w:tcPr>
            <w:tcW w:w="208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8831797</w:t>
            </w:r>
          </w:p>
        </w:tc>
      </w:tr>
    </w:tbl>
    <w:p>
      <w:pPr>
        <w:pStyle w:val="2"/>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仿宋_GB2312" w:hAnsi="仿宋_GB2312" w:eastAsia="仿宋_GB2312" w:cs="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仿宋_GB2312" w:hAnsi="仿宋_GB2312" w:eastAsia="仿宋_GB2312" w:cs="仿宋_GB2312"/>
          <w:color w:val="auto"/>
          <w:kern w:val="2"/>
          <w:sz w:val="32"/>
          <w:szCs w:val="3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ageBreakBefore w:val="0"/>
        <w:kinsoku/>
        <w:wordWrap/>
        <w:overflowPunct/>
        <w:topLinePunct w:val="0"/>
        <w:bidi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sz w:val="36"/>
          <w:szCs w:val="36"/>
        </w:rPr>
      </w:pPr>
    </w:p>
    <w:p>
      <w:pPr>
        <w:pageBreakBefore w:val="0"/>
        <w:kinsoku/>
        <w:wordWrap/>
        <w:overflowPunct/>
        <w:topLinePunct w:val="0"/>
        <w:bidi w:val="0"/>
        <w:spacing w:line="590" w:lineRule="exact"/>
        <w:ind w:left="0" w:leftChars="0" w:firstLine="0" w:firstLineChars="0"/>
        <w:jc w:val="center"/>
        <w:outlineLvl w:val="1"/>
        <w:rPr>
          <w:rFonts w:hint="eastAsia" w:ascii="方正小标宋简体" w:hAnsi="方正小标宋简体" w:eastAsia="方正小标宋简体" w:cs="方正小标宋简体"/>
          <w:b/>
          <w:sz w:val="36"/>
          <w:szCs w:val="36"/>
        </w:rPr>
      </w:pPr>
      <w:bookmarkStart w:id="50" w:name="_Toc16744"/>
      <w:r>
        <w:rPr>
          <w:rFonts w:hint="eastAsia" w:ascii="方正小标宋简体" w:hAnsi="方正小标宋简体" w:eastAsia="方正小标宋简体" w:cs="方正小标宋简体"/>
          <w:b w:val="0"/>
          <w:bCs/>
          <w:sz w:val="36"/>
          <w:szCs w:val="36"/>
        </w:rPr>
        <w:t>科技创新专项再贷款政策</w:t>
      </w:r>
      <w:bookmarkEnd w:id="50"/>
    </w:p>
    <w:p>
      <w:pPr>
        <w:pageBreakBefore w:val="0"/>
        <w:kinsoku/>
        <w:wordWrap/>
        <w:overflowPunct/>
        <w:topLinePunct w:val="0"/>
        <w:bidi w:val="0"/>
        <w:spacing w:line="590" w:lineRule="exact"/>
        <w:ind w:firstLine="640" w:firstLineChars="200"/>
        <w:rPr>
          <w:rFonts w:hint="eastAsia" w:ascii="黑体" w:hAnsi="黑体" w:eastAsia="黑体"/>
          <w:sz w:val="32"/>
          <w:szCs w:val="32"/>
        </w:rPr>
      </w:pP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黑体" w:hAnsi="黑体" w:eastAsia="黑体"/>
          <w:sz w:val="32"/>
          <w:szCs w:val="32"/>
        </w:rPr>
        <w:t>一、服务对象和范围</w:t>
      </w: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仿宋_GB2312" w:eastAsia="仿宋_GB2312"/>
          <w:sz w:val="32"/>
          <w:szCs w:val="32"/>
        </w:rPr>
        <w:t>高新技术企业、“专精特新”中小企业、国家技术创新示范企业、制造业单项冠军企业等科技企业，优先支持参与国家科技计划项目企业、国家制造业创新中心、国家级专精特新“小巨人”企业、国家关键产业链龙头骨干企业及上下游关键配套企业、参与组建创新基地平台企业以及国家级科技园区内企业。具体支持的科技企业分别按照科技部、工业和信息化部现行标准认定。</w:t>
      </w: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黑体" w:hAnsi="黑体" w:eastAsia="黑体"/>
          <w:sz w:val="32"/>
          <w:szCs w:val="32"/>
          <w:lang w:eastAsia="zh-CN"/>
        </w:rPr>
        <w:t>二</w:t>
      </w:r>
      <w:r>
        <w:rPr>
          <w:rFonts w:hint="eastAsia" w:ascii="黑体" w:hAnsi="黑体" w:eastAsia="黑体"/>
          <w:sz w:val="32"/>
          <w:szCs w:val="32"/>
        </w:rPr>
        <w:t>、政策名称或政策依据</w:t>
      </w:r>
    </w:p>
    <w:p>
      <w:pPr>
        <w:pageBreakBefore w:val="0"/>
        <w:kinsoku/>
        <w:wordWrap/>
        <w:overflowPunct/>
        <w:topLinePunct w:val="0"/>
        <w:bidi w:val="0"/>
        <w:spacing w:line="590" w:lineRule="exact"/>
        <w:ind w:firstLine="640" w:firstLineChars="200"/>
        <w:rPr>
          <w:rFonts w:hint="eastAsia" w:ascii="仿宋_GB2312" w:eastAsia="仿宋_GB2312"/>
          <w:sz w:val="32"/>
          <w:szCs w:val="32"/>
        </w:rPr>
      </w:pPr>
      <w:r>
        <w:rPr>
          <w:rFonts w:hint="eastAsia" w:ascii="仿宋_GB2312" w:eastAsia="仿宋_GB2312"/>
          <w:sz w:val="32"/>
          <w:szCs w:val="32"/>
        </w:rPr>
        <w:t>2022年4月28日，中国人民银行、科技部、工业和信息化部出台了《关于设立科技创新再贷款的通知》（银发〔2022〕104号）</w:t>
      </w: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黑体" w:hAnsi="黑体" w:eastAsia="黑体"/>
          <w:sz w:val="32"/>
          <w:szCs w:val="32"/>
          <w:lang w:eastAsia="zh-CN"/>
        </w:rPr>
        <w:t>三</w:t>
      </w:r>
      <w:r>
        <w:rPr>
          <w:rFonts w:hint="eastAsia" w:ascii="黑体" w:hAnsi="黑体" w:eastAsia="黑体"/>
          <w:sz w:val="32"/>
          <w:szCs w:val="32"/>
        </w:rPr>
        <w:t>、政策措施内容及标准</w:t>
      </w:r>
    </w:p>
    <w:p>
      <w:pPr>
        <w:pageBreakBefore w:val="0"/>
        <w:kinsoku/>
        <w:wordWrap/>
        <w:overflowPunct/>
        <w:topLinePunct w:val="0"/>
        <w:bidi w:val="0"/>
        <w:spacing w:line="590" w:lineRule="exact"/>
        <w:ind w:firstLine="640" w:firstLineChars="200"/>
        <w:rPr>
          <w:rFonts w:hint="eastAsia" w:ascii="仿宋_GB2312" w:eastAsia="仿宋_GB2312"/>
          <w:sz w:val="32"/>
          <w:szCs w:val="32"/>
        </w:rPr>
      </w:pPr>
      <w:r>
        <w:rPr>
          <w:rFonts w:hint="eastAsia" w:ascii="仿宋_GB2312" w:hAnsi="仿宋_GB2312" w:eastAsia="仿宋_GB2312" w:cs="仿宋_GB2312"/>
          <w:sz w:val="32"/>
          <w:szCs w:val="32"/>
        </w:rPr>
        <w:t>相关科技企业可向</w:t>
      </w:r>
      <w:r>
        <w:rPr>
          <w:rFonts w:hint="eastAsia" w:ascii="仿宋_GB2312" w:eastAsia="仿宋_GB2312"/>
          <w:sz w:val="32"/>
          <w:szCs w:val="32"/>
        </w:rPr>
        <w:t>国家开发银行、政策性银行、国有商业银行、中国邮政储蓄银行、股份制商业银行等21家</w:t>
      </w:r>
      <w:r>
        <w:rPr>
          <w:rFonts w:hint="eastAsia" w:ascii="仿宋_GB2312" w:hAnsi="仿宋_GB2312" w:eastAsia="仿宋_GB2312" w:cs="仿宋_GB2312"/>
          <w:sz w:val="32"/>
          <w:szCs w:val="32"/>
        </w:rPr>
        <w:t>专项再贷款发放对象申请优惠贷款。</w:t>
      </w:r>
      <w:r>
        <w:rPr>
          <w:rFonts w:hint="eastAsia" w:ascii="仿宋_GB2312" w:eastAsia="仿宋_GB2312"/>
          <w:sz w:val="32"/>
          <w:szCs w:val="32"/>
        </w:rPr>
        <w:t>自2022年4月1日起，金融机构按照市场化原则向符合条件的科技企业发放贷款后，于次季度第一个月向人民银行申请科技创新再贷款资金。人民银行按照支持范围内且期限6个月及以上科技企业贷款本金的60%提供科技创新再贷款资金支持。科技创新再贷款额度为2000亿元，利率1.75%，期限1年，可展期两次。</w:t>
      </w: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黑体" w:hAnsi="黑体" w:eastAsia="黑体"/>
          <w:sz w:val="32"/>
          <w:szCs w:val="32"/>
          <w:lang w:eastAsia="zh-CN"/>
        </w:rPr>
        <w:t>四</w:t>
      </w:r>
      <w:r>
        <w:rPr>
          <w:rFonts w:hint="eastAsia" w:ascii="黑体" w:hAnsi="黑体" w:eastAsia="黑体"/>
          <w:sz w:val="32"/>
          <w:szCs w:val="32"/>
        </w:rPr>
        <w:t>、申报办理流程</w:t>
      </w:r>
    </w:p>
    <w:p>
      <w:pPr>
        <w:pageBreakBefore w:val="0"/>
        <w:kinsoku/>
        <w:wordWrap/>
        <w:overflowPunct/>
        <w:topLinePunct w:val="0"/>
        <w:bidi w:val="0"/>
        <w:spacing w:line="590" w:lineRule="exact"/>
        <w:ind w:firstLine="640" w:firstLineChars="200"/>
        <w:rPr>
          <w:rFonts w:hint="eastAsia" w:ascii="仿宋_GB2312" w:eastAsia="仿宋_GB2312"/>
          <w:sz w:val="32"/>
          <w:szCs w:val="32"/>
        </w:rPr>
      </w:pPr>
      <w:r>
        <w:rPr>
          <w:rFonts w:hint="eastAsia" w:ascii="仿宋_GB2312" w:eastAsia="仿宋_GB2312"/>
          <w:sz w:val="32"/>
          <w:szCs w:val="32"/>
        </w:rPr>
        <w:t>相关科技创新企业可以主动与相关金融机构咨询专员联系对接，申请低利率优惠贷款。</w:t>
      </w:r>
    </w:p>
    <w:p>
      <w:pPr>
        <w:pageBreakBefore w:val="0"/>
        <w:kinsoku/>
        <w:wordWrap/>
        <w:overflowPunct/>
        <w:topLinePunct w:val="0"/>
        <w:bidi w:val="0"/>
        <w:spacing w:line="590" w:lineRule="exact"/>
        <w:ind w:firstLine="643" w:firstLineChars="200"/>
        <w:rPr>
          <w:rFonts w:hint="eastAsia" w:ascii="仿宋_GB2312" w:eastAsia="仿宋_GB2312"/>
          <w:b/>
          <w:sz w:val="32"/>
          <w:szCs w:val="32"/>
        </w:rPr>
      </w:pPr>
      <w:r>
        <w:rPr>
          <w:rFonts w:hint="eastAsia" w:ascii="仿宋_GB2312" w:eastAsia="仿宋_GB2312"/>
          <w:b/>
          <w:sz w:val="32"/>
          <w:szCs w:val="32"/>
        </w:rPr>
        <w:t>主办单位及联系电话：</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0"/>
        <w:gridCol w:w="2136"/>
        <w:gridCol w:w="1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kern w:val="0"/>
                <w:sz w:val="28"/>
                <w:szCs w:val="28"/>
              </w:rPr>
            </w:pPr>
            <w:r>
              <w:rPr>
                <w:rFonts w:hint="eastAsia" w:ascii="黑体" w:hAnsi="黑体" w:eastAsia="黑体" w:cs="黑体"/>
                <w:kern w:val="0"/>
                <w:sz w:val="28"/>
                <w:szCs w:val="28"/>
              </w:rPr>
              <w:t>银行名称</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00"/>
                <w:kern w:val="0"/>
                <w:sz w:val="28"/>
                <w:szCs w:val="28"/>
              </w:rPr>
            </w:pPr>
            <w:r>
              <w:rPr>
                <w:rFonts w:hint="eastAsia" w:ascii="黑体" w:hAnsi="黑体" w:eastAsia="黑体" w:cs="黑体"/>
                <w:color w:val="000000"/>
                <w:kern w:val="0"/>
                <w:sz w:val="28"/>
                <w:szCs w:val="28"/>
              </w:rPr>
              <w:t>联系人姓名</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00"/>
                <w:kern w:val="0"/>
                <w:sz w:val="28"/>
                <w:szCs w:val="28"/>
              </w:rPr>
            </w:pPr>
            <w:r>
              <w:rPr>
                <w:rFonts w:hint="eastAsia" w:ascii="黑体" w:hAnsi="黑体" w:eastAsia="黑体" w:cs="黑体"/>
                <w:color w:val="000000"/>
                <w:kern w:val="0"/>
                <w:sz w:val="28"/>
                <w:szCs w:val="2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农业发展银行东营市分行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李国帆</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8329801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工商银行东营分行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田玉惠</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8307720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农业银行东营分行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赵传滨</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6629027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中国银行东营分行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陈阳</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8928068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建设银行东营分行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陈鲁宁</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8203962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交通银行东营分行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段立宁</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8831797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邮政储蓄银行东营市分行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贾睿</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8223318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恒丰银行东营分行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田亮亮</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7765068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招商银行东营分行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王梦飞</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8</w:t>
            </w:r>
            <w:r>
              <w:rPr>
                <w:rFonts w:ascii="宋体" w:hAnsi="宋体" w:cs="宋体"/>
                <w:kern w:val="0"/>
                <w:sz w:val="24"/>
                <w:szCs w:val="24"/>
              </w:rPr>
              <w:t>655608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华夏银行东营分行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马春辉</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8178952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浦发银行东营分行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范保龙</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8075345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浙商银行东营分行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张超</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7763717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中信银行东营分行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纪艳红</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7922269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民生银行东营分行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王蕴龙</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8100380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光大银行东营分行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魏永强</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7279109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兴业银行东营分行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张晓璇</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8191910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平安银行东营分行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尚少奇</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7076932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66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广发银行东营分行</w:t>
            </w:r>
          </w:p>
        </w:tc>
        <w:tc>
          <w:tcPr>
            <w:tcW w:w="12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温淼</w:t>
            </w:r>
          </w:p>
        </w:tc>
        <w:tc>
          <w:tcPr>
            <w:tcW w:w="10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6098723</w:t>
            </w:r>
          </w:p>
        </w:tc>
      </w:tr>
    </w:tbl>
    <w:p>
      <w:pPr>
        <w:pStyle w:val="2"/>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仿宋_GB2312" w:hAnsi="仿宋_GB2312" w:eastAsia="仿宋_GB2312" w:cs="仿宋_GB2312"/>
          <w:color w:val="auto"/>
          <w:kern w:val="2"/>
          <w:sz w:val="32"/>
          <w:szCs w:val="32"/>
          <w:lang w:val="en-US" w:eastAsia="zh-CN" w:bidi="ar-SA"/>
        </w:rPr>
      </w:pPr>
    </w:p>
    <w:p>
      <w:pPr>
        <w:pageBreakBefore w:val="0"/>
        <w:kinsoku/>
        <w:wordWrap/>
        <w:overflowPunct/>
        <w:topLinePunct w:val="0"/>
        <w:bidi w:val="0"/>
        <w:spacing w:line="590" w:lineRule="exact"/>
        <w:ind w:left="0" w:leftChars="0" w:firstLine="0" w:firstLineChars="0"/>
        <w:jc w:val="center"/>
        <w:outlineLvl w:val="1"/>
        <w:rPr>
          <w:rFonts w:hint="eastAsia" w:ascii="仿宋_GB2312" w:eastAsia="仿宋_GB2312"/>
          <w:b/>
          <w:sz w:val="32"/>
          <w:szCs w:val="32"/>
        </w:rPr>
      </w:pPr>
      <w:bookmarkStart w:id="51" w:name="_Toc6047"/>
      <w:r>
        <w:rPr>
          <w:rFonts w:hint="eastAsia" w:ascii="方正小标宋简体" w:hAnsi="方正小标宋简体" w:eastAsia="方正小标宋简体" w:cs="方正小标宋简体"/>
          <w:b w:val="0"/>
          <w:bCs/>
          <w:sz w:val="36"/>
          <w:szCs w:val="36"/>
        </w:rPr>
        <w:t>交通物流专项再贷款</w:t>
      </w:r>
      <w:bookmarkEnd w:id="51"/>
    </w:p>
    <w:p>
      <w:pPr>
        <w:pageBreakBefore w:val="0"/>
        <w:kinsoku/>
        <w:wordWrap/>
        <w:overflowPunct/>
        <w:topLinePunct w:val="0"/>
        <w:bidi w:val="0"/>
        <w:spacing w:line="590" w:lineRule="exact"/>
        <w:ind w:firstLine="640" w:firstLineChars="200"/>
        <w:rPr>
          <w:rFonts w:hint="eastAsia" w:ascii="黑体" w:hAnsi="黑体" w:eastAsia="黑体"/>
          <w:sz w:val="32"/>
          <w:szCs w:val="32"/>
        </w:rPr>
      </w:pP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黑体" w:hAnsi="黑体" w:eastAsia="黑体"/>
          <w:sz w:val="32"/>
          <w:szCs w:val="32"/>
        </w:rPr>
        <w:t>一、服务对象和范围</w:t>
      </w:r>
    </w:p>
    <w:p>
      <w:pPr>
        <w:pageBreakBefore w:val="0"/>
        <w:kinsoku/>
        <w:wordWrap/>
        <w:overflowPunct/>
        <w:topLinePunct w:val="0"/>
        <w:bidi w:val="0"/>
        <w:spacing w:line="590" w:lineRule="exact"/>
        <w:ind w:firstLine="640" w:firstLineChars="200"/>
        <w:rPr>
          <w:rFonts w:hint="eastAsia" w:ascii="仿宋_GB2312" w:eastAsia="仿宋_GB2312"/>
          <w:sz w:val="32"/>
          <w:szCs w:val="32"/>
        </w:rPr>
      </w:pPr>
      <w:r>
        <w:rPr>
          <w:rFonts w:hint="eastAsia" w:ascii="仿宋_GB2312" w:eastAsia="仿宋_GB2312"/>
          <w:sz w:val="32"/>
          <w:szCs w:val="32"/>
        </w:rPr>
        <w:t>主要支持受新冠肺炎疫情影响暂遇困难的道路货物运输经营者（含道路普通货物运输企业、网络平台道路货物运输企业、“司机之家”运营企业、道路货物运输个体工商户和挂靠普通货运车辆车主）、中小微物流配送（含快递）企业。具体支持领域由交通运输部确定。</w:t>
      </w: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黑体" w:hAnsi="黑体" w:eastAsia="黑体"/>
          <w:sz w:val="32"/>
          <w:szCs w:val="32"/>
          <w:lang w:val="en-US" w:eastAsia="zh-CN"/>
        </w:rPr>
        <w:t>二</w:t>
      </w:r>
      <w:r>
        <w:rPr>
          <w:rFonts w:hint="eastAsia" w:ascii="黑体" w:hAnsi="黑体" w:eastAsia="黑体"/>
          <w:sz w:val="32"/>
          <w:szCs w:val="32"/>
        </w:rPr>
        <w:t>、政策名称或政策依据</w:t>
      </w:r>
    </w:p>
    <w:p>
      <w:pPr>
        <w:pageBreakBefore w:val="0"/>
        <w:kinsoku/>
        <w:wordWrap/>
        <w:overflowPunct/>
        <w:topLinePunct w:val="0"/>
        <w:bidi w:val="0"/>
        <w:spacing w:line="590" w:lineRule="exact"/>
        <w:ind w:firstLine="640" w:firstLineChars="200"/>
        <w:rPr>
          <w:rFonts w:hint="eastAsia" w:ascii="仿宋_GB2312" w:eastAsia="仿宋_GB2312"/>
          <w:sz w:val="32"/>
          <w:szCs w:val="32"/>
        </w:rPr>
      </w:pPr>
      <w:r>
        <w:rPr>
          <w:rFonts w:hint="eastAsia" w:ascii="仿宋_GB2312" w:eastAsia="仿宋_GB2312"/>
          <w:sz w:val="32"/>
          <w:szCs w:val="32"/>
        </w:rPr>
        <w:t>2022年5月23日，中国人民银行、交通运输部出台了《关于设立交通物流专项再贷款有关事宜的通知》（银发〔2022〕120号），专项再贷款政策执行至2022年末。</w:t>
      </w: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黑体" w:hAnsi="黑体" w:eastAsia="黑体"/>
          <w:sz w:val="32"/>
          <w:szCs w:val="32"/>
          <w:lang w:val="en-US" w:eastAsia="zh-CN"/>
        </w:rPr>
        <w:t>三</w:t>
      </w:r>
      <w:r>
        <w:rPr>
          <w:rFonts w:hint="eastAsia" w:ascii="黑体" w:hAnsi="黑体" w:eastAsia="黑体"/>
          <w:sz w:val="32"/>
          <w:szCs w:val="32"/>
        </w:rPr>
        <w:t>、政策措施内容及标准</w:t>
      </w:r>
    </w:p>
    <w:p>
      <w:pPr>
        <w:pageBreakBefore w:val="0"/>
        <w:kinsoku/>
        <w:wordWrap/>
        <w:overflowPunct/>
        <w:topLinePunct w:val="0"/>
        <w:bidi w:val="0"/>
        <w:spacing w:line="590" w:lineRule="exact"/>
        <w:ind w:firstLine="640" w:firstLineChars="200"/>
        <w:rPr>
          <w:rFonts w:hint="eastAsia" w:ascii="仿宋_GB2312" w:eastAsia="仿宋_GB2312"/>
          <w:sz w:val="32"/>
          <w:szCs w:val="32"/>
        </w:rPr>
      </w:pPr>
      <w:r>
        <w:rPr>
          <w:rFonts w:hint="eastAsia" w:ascii="仿宋_GB2312" w:eastAsia="仿宋_GB2312"/>
          <w:sz w:val="32"/>
          <w:szCs w:val="32"/>
        </w:rPr>
        <w:t>交通物流领域相关市场主体可向国家开发银行、进出口银行、中国工商银行、中国农业银行、中国银行、中国建设银行、交通银行等7家专项再贷款发放对象申请优惠贷款。自2022年5月1日起，人民银行按照符合条件贷款本金等额提供专项再贷款资金支持。专项再贷款额度1000亿元，利率1.75%，可展期1次，展期期限1年，展期利率不变。</w:t>
      </w:r>
    </w:p>
    <w:p>
      <w:pPr>
        <w:pageBreakBefore w:val="0"/>
        <w:kinsoku/>
        <w:wordWrap/>
        <w:overflowPunct/>
        <w:topLinePunct w:val="0"/>
        <w:bidi w:val="0"/>
        <w:spacing w:line="590" w:lineRule="exact"/>
        <w:ind w:firstLine="640" w:firstLineChars="200"/>
        <w:rPr>
          <w:rFonts w:hint="eastAsia" w:ascii="黑体" w:hAnsi="黑体" w:eastAsia="黑体"/>
          <w:sz w:val="32"/>
          <w:szCs w:val="32"/>
        </w:rPr>
      </w:pPr>
      <w:r>
        <w:rPr>
          <w:rFonts w:hint="eastAsia" w:ascii="黑体" w:hAnsi="黑体" w:eastAsia="黑体"/>
          <w:sz w:val="32"/>
          <w:szCs w:val="32"/>
          <w:lang w:val="en-US" w:eastAsia="zh-CN"/>
        </w:rPr>
        <w:t>四</w:t>
      </w:r>
      <w:r>
        <w:rPr>
          <w:rFonts w:hint="eastAsia" w:ascii="黑体" w:hAnsi="黑体" w:eastAsia="黑体"/>
          <w:sz w:val="32"/>
          <w:szCs w:val="32"/>
        </w:rPr>
        <w:t>、申报办理流程</w:t>
      </w:r>
    </w:p>
    <w:p>
      <w:pPr>
        <w:pageBreakBefore w:val="0"/>
        <w:kinsoku/>
        <w:wordWrap/>
        <w:overflowPunct/>
        <w:topLinePunct w:val="0"/>
        <w:bidi w:val="0"/>
        <w:spacing w:line="590" w:lineRule="exact"/>
        <w:ind w:firstLine="640" w:firstLineChars="200"/>
        <w:rPr>
          <w:rFonts w:hint="eastAsia" w:ascii="仿宋_GB2312" w:eastAsia="仿宋_GB2312"/>
          <w:sz w:val="32"/>
          <w:szCs w:val="32"/>
        </w:rPr>
      </w:pPr>
      <w:r>
        <w:rPr>
          <w:rFonts w:hint="eastAsia" w:ascii="仿宋_GB2312" w:eastAsia="仿宋_GB2312"/>
          <w:sz w:val="32"/>
          <w:szCs w:val="32"/>
        </w:rPr>
        <w:t>相关交通物流领域企业可以主动与相关金融机构咨询专员联系对接，申请低利率优惠贷款。</w:t>
      </w:r>
    </w:p>
    <w:p>
      <w:pPr>
        <w:pageBreakBefore w:val="0"/>
        <w:kinsoku/>
        <w:wordWrap/>
        <w:overflowPunct/>
        <w:topLinePunct w:val="0"/>
        <w:bidi w:val="0"/>
        <w:spacing w:line="590" w:lineRule="exact"/>
        <w:ind w:left="640" w:firstLine="643" w:firstLineChars="200"/>
        <w:rPr>
          <w:rFonts w:hint="eastAsia" w:ascii="仿宋_GB2312" w:eastAsia="仿宋_GB2312"/>
          <w:b/>
          <w:sz w:val="32"/>
          <w:szCs w:val="32"/>
        </w:rPr>
      </w:pPr>
    </w:p>
    <w:p>
      <w:pPr>
        <w:pageBreakBefore w:val="0"/>
        <w:kinsoku/>
        <w:wordWrap/>
        <w:overflowPunct/>
        <w:topLinePunct w:val="0"/>
        <w:bidi w:val="0"/>
        <w:spacing w:line="590" w:lineRule="exact"/>
        <w:ind w:left="640" w:firstLine="643" w:firstLineChars="200"/>
        <w:rPr>
          <w:rFonts w:hint="eastAsia" w:ascii="仿宋_GB2312" w:eastAsia="仿宋_GB2312"/>
          <w:b/>
          <w:sz w:val="32"/>
          <w:szCs w:val="32"/>
        </w:rPr>
      </w:pPr>
    </w:p>
    <w:p>
      <w:pPr>
        <w:pageBreakBefore w:val="0"/>
        <w:kinsoku/>
        <w:wordWrap/>
        <w:overflowPunct/>
        <w:topLinePunct w:val="0"/>
        <w:bidi w:val="0"/>
        <w:spacing w:line="590" w:lineRule="exact"/>
        <w:ind w:left="0" w:leftChars="0" w:firstLine="643" w:firstLineChars="200"/>
        <w:rPr>
          <w:rFonts w:hint="eastAsia" w:ascii="仿宋_GB2312" w:eastAsia="仿宋_GB2312"/>
          <w:b/>
          <w:sz w:val="32"/>
          <w:szCs w:val="32"/>
        </w:rPr>
      </w:pPr>
      <w:r>
        <w:rPr>
          <w:rFonts w:hint="eastAsia" w:ascii="仿宋_GB2312" w:eastAsia="仿宋_GB2312"/>
          <w:b/>
          <w:sz w:val="32"/>
          <w:szCs w:val="32"/>
        </w:rPr>
        <w:t>主办单位及联系电话：</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4"/>
        <w:gridCol w:w="2349"/>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1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kern w:val="0"/>
                <w:sz w:val="28"/>
                <w:szCs w:val="28"/>
              </w:rPr>
            </w:pPr>
            <w:r>
              <w:rPr>
                <w:rFonts w:hint="eastAsia" w:ascii="黑体" w:hAnsi="黑体" w:eastAsia="黑体" w:cs="黑体"/>
                <w:kern w:val="0"/>
                <w:sz w:val="28"/>
                <w:szCs w:val="28"/>
              </w:rPr>
              <w:t>机构名称</w:t>
            </w:r>
          </w:p>
        </w:tc>
        <w:tc>
          <w:tcPr>
            <w:tcW w:w="137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00"/>
                <w:kern w:val="0"/>
                <w:sz w:val="28"/>
                <w:szCs w:val="28"/>
              </w:rPr>
            </w:pPr>
            <w:r>
              <w:rPr>
                <w:rFonts w:hint="eastAsia" w:ascii="黑体" w:hAnsi="黑体" w:eastAsia="黑体" w:cs="黑体"/>
                <w:color w:val="000000"/>
                <w:kern w:val="0"/>
                <w:sz w:val="28"/>
                <w:szCs w:val="28"/>
              </w:rPr>
              <w:t>联系人姓名</w:t>
            </w:r>
          </w:p>
        </w:tc>
        <w:tc>
          <w:tcPr>
            <w:tcW w:w="120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00"/>
                <w:kern w:val="0"/>
                <w:sz w:val="28"/>
                <w:szCs w:val="28"/>
              </w:rPr>
            </w:pPr>
            <w:r>
              <w:rPr>
                <w:rFonts w:hint="eastAsia" w:ascii="黑体" w:hAnsi="黑体" w:eastAsia="黑体" w:cs="黑体"/>
                <w:color w:val="000000"/>
                <w:kern w:val="0"/>
                <w:sz w:val="28"/>
                <w:szCs w:val="2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农业发展银行东营市分行</w:t>
            </w:r>
          </w:p>
        </w:tc>
        <w:tc>
          <w:tcPr>
            <w:tcW w:w="13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李国帆</w:t>
            </w:r>
          </w:p>
        </w:tc>
        <w:tc>
          <w:tcPr>
            <w:tcW w:w="12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8329801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工商银行东营分行</w:t>
            </w:r>
          </w:p>
        </w:tc>
        <w:tc>
          <w:tcPr>
            <w:tcW w:w="13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李松松</w:t>
            </w:r>
          </w:p>
        </w:tc>
        <w:tc>
          <w:tcPr>
            <w:tcW w:w="12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8307670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农业银行东营分行</w:t>
            </w:r>
          </w:p>
        </w:tc>
        <w:tc>
          <w:tcPr>
            <w:tcW w:w="13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郭燕</w:t>
            </w:r>
          </w:p>
        </w:tc>
        <w:tc>
          <w:tcPr>
            <w:tcW w:w="12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6629113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中国银行东营分行</w:t>
            </w:r>
          </w:p>
        </w:tc>
        <w:tc>
          <w:tcPr>
            <w:tcW w:w="13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李雅洁</w:t>
            </w:r>
          </w:p>
        </w:tc>
        <w:tc>
          <w:tcPr>
            <w:tcW w:w="12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8928189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中国银行东营分行</w:t>
            </w:r>
          </w:p>
        </w:tc>
        <w:tc>
          <w:tcPr>
            <w:tcW w:w="13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姜振环</w:t>
            </w:r>
          </w:p>
        </w:tc>
        <w:tc>
          <w:tcPr>
            <w:tcW w:w="12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8928283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中国银行东营分行</w:t>
            </w:r>
          </w:p>
        </w:tc>
        <w:tc>
          <w:tcPr>
            <w:tcW w:w="13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陈阳</w:t>
            </w:r>
          </w:p>
        </w:tc>
        <w:tc>
          <w:tcPr>
            <w:tcW w:w="12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8928068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1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建设银行东营分行</w:t>
            </w:r>
          </w:p>
        </w:tc>
        <w:tc>
          <w:tcPr>
            <w:tcW w:w="137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陈鲁宁</w:t>
            </w:r>
          </w:p>
        </w:tc>
        <w:tc>
          <w:tcPr>
            <w:tcW w:w="120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8203962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交通银行东营分行</w:t>
            </w:r>
          </w:p>
        </w:tc>
        <w:tc>
          <w:tcPr>
            <w:tcW w:w="13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段立宁</w:t>
            </w:r>
          </w:p>
        </w:tc>
        <w:tc>
          <w:tcPr>
            <w:tcW w:w="12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8831797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0"/>
                <w:sz w:val="24"/>
                <w:szCs w:val="24"/>
              </w:rPr>
            </w:pPr>
            <w:r>
              <w:rPr>
                <w:rFonts w:hint="eastAsia" w:ascii="宋体" w:hAnsi="宋体" w:cs="宋体"/>
                <w:kern w:val="0"/>
                <w:sz w:val="24"/>
                <w:szCs w:val="24"/>
              </w:rPr>
              <w:t>邮政储蓄银行东营市分行</w:t>
            </w:r>
          </w:p>
        </w:tc>
        <w:tc>
          <w:tcPr>
            <w:tcW w:w="13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贾睿</w:t>
            </w:r>
          </w:p>
        </w:tc>
        <w:tc>
          <w:tcPr>
            <w:tcW w:w="12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color w:val="000000"/>
                <w:kern w:val="0"/>
                <w:sz w:val="24"/>
                <w:szCs w:val="24"/>
              </w:rPr>
            </w:pPr>
            <w:r>
              <w:rPr>
                <w:rFonts w:hint="eastAsia" w:ascii="宋体" w:hAnsi="宋体" w:cs="宋体"/>
                <w:color w:val="000000"/>
                <w:kern w:val="0"/>
                <w:sz w:val="24"/>
                <w:szCs w:val="24"/>
              </w:rPr>
              <w:t>8223318</w:t>
            </w:r>
          </w:p>
        </w:tc>
      </w:tr>
    </w:tbl>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textAlignment w:val="auto"/>
        <w:rPr>
          <w:rFonts w:hint="eastAsia" w:ascii="仿宋_GB2312" w:hAnsi="仿宋_GB2312" w:eastAsia="仿宋_GB2312" w:cs="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textAlignment w:val="auto"/>
        <w:rPr>
          <w:rFonts w:hint="eastAsia" w:ascii="仿宋_GB2312" w:hAnsi="仿宋_GB2312" w:eastAsia="仿宋_GB2312" w:cs="仿宋_GB2312"/>
          <w:color w:val="auto"/>
          <w:kern w:val="2"/>
          <w:sz w:val="32"/>
          <w:szCs w:val="3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ageBreakBefore w:val="0"/>
        <w:numPr>
          <w:ilvl w:val="0"/>
          <w:numId w:val="0"/>
        </w:numPr>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jc w:val="center"/>
        <w:outlineLvl w:val="1"/>
        <w:rPr>
          <w:rFonts w:hint="eastAsia" w:ascii="方正小标宋简体" w:hAnsi="方正小标宋简体" w:eastAsia="方正小标宋简体" w:cs="方正小标宋简体"/>
          <w:b w:val="0"/>
          <w:bCs w:val="0"/>
          <w:sz w:val="36"/>
          <w:szCs w:val="36"/>
        </w:rPr>
      </w:pPr>
    </w:p>
    <w:p>
      <w:pPr>
        <w:pageBreakBefore w:val="0"/>
        <w:numPr>
          <w:ilvl w:val="0"/>
          <w:numId w:val="0"/>
        </w:numPr>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jc w:val="center"/>
        <w:outlineLvl w:val="1"/>
        <w:rPr>
          <w:rFonts w:hint="eastAsia" w:ascii="方正小标宋简体" w:hAnsi="方正小标宋简体" w:eastAsia="方正小标宋简体" w:cs="方正小标宋简体"/>
          <w:b w:val="0"/>
          <w:bCs w:val="0"/>
          <w:sz w:val="36"/>
          <w:szCs w:val="36"/>
        </w:rPr>
      </w:pPr>
      <w:bookmarkStart w:id="52" w:name="_Toc8368"/>
      <w:r>
        <w:rPr>
          <w:rFonts w:hint="eastAsia" w:ascii="方正小标宋简体" w:hAnsi="方正小标宋简体" w:eastAsia="方正小标宋简体" w:cs="方正小标宋简体"/>
          <w:b w:val="0"/>
          <w:bCs w:val="0"/>
          <w:sz w:val="36"/>
          <w:szCs w:val="36"/>
        </w:rPr>
        <w:t>再贴现科创引导政策</w:t>
      </w:r>
      <w:bookmarkEnd w:id="52"/>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sz w:val="32"/>
          <w:szCs w:val="32"/>
        </w:rPr>
      </w:pP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sz w:val="32"/>
          <w:szCs w:val="32"/>
        </w:rPr>
      </w:pPr>
      <w:r>
        <w:rPr>
          <w:rFonts w:hint="eastAsia" w:ascii="黑体" w:hAnsi="黑体" w:eastAsia="黑体"/>
          <w:sz w:val="32"/>
          <w:szCs w:val="32"/>
        </w:rPr>
        <w:t>一、服务对象和范围</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山东省内科创企业，包括当年获得国家科技型中小企业库入库编号企业和有效期内的国家高新技术企业等。</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sz w:val="32"/>
          <w:szCs w:val="32"/>
        </w:rPr>
      </w:pPr>
      <w:r>
        <w:rPr>
          <w:rFonts w:hint="eastAsia" w:ascii="黑体" w:hAnsi="黑体" w:eastAsia="黑体"/>
          <w:sz w:val="32"/>
          <w:szCs w:val="32"/>
        </w:rPr>
        <w:t>二、概念解释</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再贴现科创引导，是指人民银行为金融机构提供再贴现资金，支持金融机构为山东省内科创企业签发、承兑或持有的票据办理贴现，助力全省科创企业做大做强。</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sz w:val="32"/>
          <w:szCs w:val="32"/>
        </w:rPr>
      </w:pPr>
      <w:r>
        <w:rPr>
          <w:rFonts w:hint="eastAsia" w:ascii="黑体" w:hAnsi="黑体" w:eastAsia="黑体"/>
          <w:sz w:val="32"/>
          <w:szCs w:val="32"/>
        </w:rPr>
        <w:t>三、政策名称或政策依据</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2021年12月13日，中国人民银行济南分行、山东省科学技术厅出台了《山东省再贴现科创引导管理办法》（济银发[2021]191号）。文件有效期：2022年1月1日至2023年12月31日。</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sz w:val="32"/>
          <w:szCs w:val="32"/>
        </w:rPr>
      </w:pPr>
      <w:r>
        <w:rPr>
          <w:rFonts w:hint="eastAsia" w:ascii="黑体" w:hAnsi="黑体" w:eastAsia="黑体"/>
          <w:sz w:val="32"/>
          <w:szCs w:val="32"/>
        </w:rPr>
        <w:t>四、政策措施内容及标准</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全省设立50亿元再贴现科创引导专项额度，再贴现期限不超过6个月，目前再贴现利率为2%，金融机构贴现次日即可向人民银行申请再贴现。金融机构用于申请再贴现科创引导的票据中，出票人、承兑人或贴现人中至少有一方应为名单内的企业，且贴现企业为山东省内企业。</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sz w:val="32"/>
          <w:szCs w:val="32"/>
        </w:rPr>
      </w:pPr>
      <w:r>
        <w:rPr>
          <w:rFonts w:hint="eastAsia" w:ascii="黑体" w:hAnsi="黑体" w:eastAsia="黑体"/>
          <w:sz w:val="32"/>
          <w:szCs w:val="32"/>
        </w:rPr>
        <w:t>五、申请办理流程</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属于支持范围内的企业可以主动与相关金融机构咨询专员联系对接，积极通过贴现方式进行融资，提高获得信贷资金便捷度。</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3" w:firstLineChars="200"/>
        <w:rPr>
          <w:rFonts w:hint="eastAsia" w:ascii="仿宋_GB2312" w:eastAsia="仿宋_GB2312"/>
          <w:b/>
          <w:sz w:val="32"/>
          <w:szCs w:val="32"/>
        </w:rPr>
      </w:pPr>
      <w:r>
        <w:rPr>
          <w:rFonts w:hint="eastAsia" w:ascii="仿宋_GB2312" w:eastAsia="仿宋_GB2312"/>
          <w:b/>
          <w:sz w:val="32"/>
          <w:szCs w:val="32"/>
        </w:rPr>
        <w:t>主办单位及联系电话：</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1"/>
        <w:gridCol w:w="1585"/>
        <w:gridCol w:w="2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黑体" w:hAnsi="黑体" w:eastAsia="黑体" w:cs="宋体"/>
                <w:kern w:val="0"/>
                <w:sz w:val="28"/>
                <w:szCs w:val="28"/>
              </w:rPr>
            </w:pPr>
            <w:bookmarkStart w:id="53" w:name="RANGE!B2:F39"/>
            <w:r>
              <w:rPr>
                <w:rFonts w:hint="eastAsia" w:ascii="黑体" w:hAnsi="黑体" w:eastAsia="黑体" w:cs="宋体"/>
                <w:kern w:val="0"/>
                <w:sz w:val="28"/>
                <w:szCs w:val="28"/>
              </w:rPr>
              <w:t>银行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黑体" w:hAnsi="黑体" w:eastAsia="黑体" w:cs="宋体"/>
                <w:color w:val="000000"/>
                <w:kern w:val="0"/>
                <w:sz w:val="28"/>
                <w:szCs w:val="28"/>
              </w:rPr>
            </w:pPr>
            <w:r>
              <w:rPr>
                <w:rFonts w:hint="eastAsia" w:ascii="黑体" w:hAnsi="黑体" w:eastAsia="黑体" w:cs="宋体"/>
                <w:color w:val="000000"/>
                <w:kern w:val="0"/>
                <w:sz w:val="28"/>
                <w:szCs w:val="28"/>
              </w:rPr>
              <w:t>姓名</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黑体" w:hAnsi="黑体" w:eastAsia="黑体" w:cs="宋体"/>
                <w:color w:val="000000"/>
                <w:kern w:val="0"/>
                <w:sz w:val="28"/>
                <w:szCs w:val="28"/>
              </w:rPr>
            </w:pPr>
            <w:r>
              <w:rPr>
                <w:rFonts w:hint="eastAsia" w:ascii="黑体" w:hAnsi="黑体" w:eastAsia="黑体" w:cs="宋体"/>
                <w:color w:val="000000"/>
                <w:kern w:val="0"/>
                <w:sz w:val="28"/>
                <w:szCs w:val="2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农业发展银行东营市分行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焦  莹</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8329798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工商银行东营分行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刘延峰</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8307060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农业银行东营分行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魏  婕</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6629125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中国银行东营分行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任爱霞</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8928067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建设银行东营分行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陈鲁宁</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8203962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东营银行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尚华懿</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8078237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东营农商银行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张画画</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8209508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交通银行东营分行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段立宁</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8831797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邮政储蓄银行东营市分行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毛心旭</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6377753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恒丰银行东营分行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卜良良</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7765065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华夏银行东营分行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董珊娜</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8178912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中信银行东营分行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纪艳红</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7922269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民生银行东营分行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王蕴龙</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8100380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招商银行东营分行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綦  娜</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8655003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浦发银行东营分行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王  敏</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8075871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青岛银行东营分行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吴晓敏</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8975313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光大银行东营分行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魏永强</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7279109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齐商银行东营分行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胡小敏</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8831032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兴业银行东营分行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张晓璇</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8191910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天津银行东营分行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张春雨</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7278127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威海市商业银行东营分行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任  静</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8150986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平安银行东营分行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尚少奇</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7076932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广发银行东营分行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温  淼</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6098723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齐鲁银行东营分行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朱  瑞</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6079578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浙商银行东营分行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张  超</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7763717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烟台银行东营分行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李青霞</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8158906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垦利农商银行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唐淑朋</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2588588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利津农商银行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李永兵</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5628895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广饶农商银行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燕中元</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6456211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东营莱商村镇银行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冯  凯</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8036887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东营河口中成村镇银行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孙丹阳</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8875877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东营融和村镇银行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宋  娟</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7905808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利津舜丰村镇银行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薄其涛</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5028679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垦利乐安村镇银行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李国超</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2779866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77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4"/>
                <w:szCs w:val="24"/>
              </w:rPr>
            </w:pPr>
            <w:r>
              <w:rPr>
                <w:rFonts w:hint="eastAsia" w:ascii="宋体" w:hAnsi="宋体" w:cs="宋体"/>
                <w:kern w:val="0"/>
                <w:sz w:val="24"/>
                <w:szCs w:val="24"/>
              </w:rPr>
              <w:t>广饶梁邹村镇银行</w:t>
            </w:r>
          </w:p>
        </w:tc>
        <w:tc>
          <w:tcPr>
            <w:tcW w:w="93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苏媛媛</w:t>
            </w:r>
          </w:p>
        </w:tc>
        <w:tc>
          <w:tcPr>
            <w:tcW w:w="12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kern w:val="0"/>
                <w:sz w:val="24"/>
                <w:szCs w:val="24"/>
              </w:rPr>
            </w:pPr>
            <w:r>
              <w:rPr>
                <w:rFonts w:hint="eastAsia" w:ascii="宋体" w:hAnsi="宋体" w:cs="宋体"/>
                <w:color w:val="000000"/>
                <w:kern w:val="0"/>
                <w:sz w:val="24"/>
                <w:szCs w:val="24"/>
              </w:rPr>
              <w:t>6442864</w:t>
            </w:r>
          </w:p>
        </w:tc>
      </w:tr>
      <w:bookmarkEnd w:id="53"/>
    </w:tbl>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textAlignment w:val="auto"/>
        <w:rPr>
          <w:rFonts w:hint="eastAsia" w:ascii="仿宋_GB2312" w:hAnsi="仿宋_GB2312" w:eastAsia="仿宋_GB2312" w:cs="仿宋_GB2312"/>
          <w:color w:val="auto"/>
          <w:kern w:val="2"/>
          <w:sz w:val="32"/>
          <w:szCs w:val="3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rPr>
      </w:pP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rPr>
      </w:pPr>
      <w:bookmarkStart w:id="54" w:name="_Toc30532"/>
      <w:r>
        <w:rPr>
          <w:rFonts w:hint="eastAsia" w:ascii="方正小标宋简体" w:hAnsi="方正小标宋简体" w:eastAsia="方正小标宋简体" w:cs="方正小标宋简体"/>
          <w:b w:val="0"/>
          <w:bCs w:val="0"/>
          <w:sz w:val="36"/>
          <w:szCs w:val="36"/>
        </w:rPr>
        <w:t>再贴现减碳引导政策</w:t>
      </w:r>
      <w:bookmarkEnd w:id="54"/>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一、服务对象和范围</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包括省、市级环保金融项目库的入库项目所属企业，环保金融项目库由山东省生态环境厅负责牵头建立。</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二、概念解释</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再贴现减碳引导，是指人民银行为金融机构提供再贴现资金，支持金融机构为山东省环保金融项目库入库项目所有企业签发、承兑或持有的票据办理贴现，助力全省绿色低碳发展。</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三、政策名称或政策依据</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2021年12月13日，中国人民银行济南分行、山东省生态环境厅出台了《山东省再贴现减碳引导管理办法》（济银发[2021]192号）。政策有效期：2022年1月1日至2023年12月31日。</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四、政策措施内容及标准</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全省设立50亿元再贴现减碳引导专项额度，再贴现期限不超过6个月，目前再贴现利率为2%，金融机构贴现次日即可向人民银行申请再贴现。金融机构用于申请再贴现减碳引导的票据中，出票人、承兑人或贴现人中至少有一方应为山东省环保金融项目库入库项目所属企业，且贴现企业为山东省内企业。</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五、申请办理流程</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属于支持范围内的企业可以主动与相关金融机构咨询专员联系对接，积极通过贴现方式进行融资，提高获得信贷资金便捷度。</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3" w:firstLineChars="200"/>
        <w:rPr>
          <w:rFonts w:hint="eastAsia" w:ascii="仿宋_GB2312" w:eastAsia="仿宋_GB2312"/>
          <w:b/>
          <w:sz w:val="32"/>
          <w:szCs w:val="32"/>
        </w:rPr>
      </w:pPr>
      <w:r>
        <w:rPr>
          <w:rFonts w:hint="eastAsia" w:ascii="仿宋_GB2312" w:eastAsia="仿宋_GB2312"/>
          <w:b/>
          <w:sz w:val="32"/>
          <w:szCs w:val="32"/>
        </w:rPr>
        <w:t>主办单位及联系电话：</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4"/>
        <w:gridCol w:w="1217"/>
        <w:gridCol w:w="1817"/>
        <w:gridCol w:w="2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黑体" w:hAnsi="黑体" w:eastAsia="黑体" w:cs="宋体"/>
                <w:kern w:val="0"/>
                <w:sz w:val="24"/>
                <w:szCs w:val="24"/>
              </w:rPr>
            </w:pPr>
            <w:r>
              <w:rPr>
                <w:rFonts w:hint="eastAsia" w:ascii="黑体" w:hAnsi="黑体" w:eastAsia="黑体" w:cs="宋体"/>
                <w:kern w:val="0"/>
                <w:sz w:val="24"/>
                <w:szCs w:val="24"/>
              </w:rPr>
              <w:t>银行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黑体" w:hAnsi="黑体" w:eastAsia="黑体" w:cs="宋体"/>
                <w:color w:val="000000"/>
                <w:kern w:val="0"/>
                <w:sz w:val="24"/>
                <w:szCs w:val="24"/>
              </w:rPr>
            </w:pPr>
            <w:r>
              <w:rPr>
                <w:rFonts w:hint="eastAsia" w:ascii="黑体" w:hAnsi="黑体" w:eastAsia="黑体" w:cs="宋体"/>
                <w:color w:val="000000"/>
                <w:kern w:val="0"/>
                <w:sz w:val="24"/>
                <w:szCs w:val="24"/>
              </w:rPr>
              <w:t>姓名</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黑体" w:hAnsi="黑体" w:eastAsia="黑体" w:cs="宋体"/>
                <w:color w:val="000000"/>
                <w:kern w:val="0"/>
                <w:sz w:val="24"/>
                <w:szCs w:val="24"/>
              </w:rPr>
            </w:pPr>
            <w:r>
              <w:rPr>
                <w:rFonts w:hint="eastAsia" w:ascii="黑体" w:hAnsi="黑体" w:eastAsia="黑体" w:cs="宋体"/>
                <w:color w:val="000000"/>
                <w:kern w:val="0"/>
                <w:sz w:val="24"/>
                <w:szCs w:val="24"/>
              </w:rPr>
              <w:t>座机</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黑体" w:hAnsi="黑体" w:eastAsia="黑体" w:cs="宋体"/>
                <w:kern w:val="0"/>
                <w:sz w:val="24"/>
                <w:szCs w:val="24"/>
              </w:rPr>
            </w:pPr>
            <w:r>
              <w:rPr>
                <w:rFonts w:hint="eastAsia" w:ascii="黑体" w:hAnsi="黑体" w:eastAsia="黑体" w:cs="宋体"/>
                <w:kern w:val="0"/>
                <w:sz w:val="24"/>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人民银行东营市中心支行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赵玉晓</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8305371</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18366912917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农业发展银行东营市分行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焦  莹</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8329798</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15263816186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工商银行东营分行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刘延峰</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8307060</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13505462636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农业银行东营分行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魏  婕</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6629125</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13954640698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中国银行东营分行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任爱霞</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8928067</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13054692369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建设银行东营分行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陈鲁宁</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8203962</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18615996902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东营银行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尚华懿</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8078237</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13365465783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东营农商银行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张画画</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8209508</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15006857877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交通银行东营分行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段立宁</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8831797</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18654629690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邮政储蓄银行东营市分行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毛心旭</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6377753</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18906476918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恒丰银行东营分行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卜良良</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7765065</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18654689007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华夏银行东营分行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董珊娜</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8178912</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18905460195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中信银行东营分行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纪艳红</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7922269</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15275655277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民生银行东营分行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王蕴龙</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8100380</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18354690699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招商银行东营分行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綦  娜</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8655003</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15954677393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浦发银行东营分行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王  敏</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8075871</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15266007166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青岛银行东营分行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吴晓敏</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8975313</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18605434678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光大银行东营分行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魏永强</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7279109</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15065468072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齐商银行东营分行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胡小敏</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8831032</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15954791257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兴业银行东营分行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张晓璇</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8191910</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15805468169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天津银行东营分行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张春雨</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7278127</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13864783115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威海市商业银行东营分行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任  静</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8150986</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18766796607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平安银行东营分行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尚少奇</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7076932</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18954669777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广发银行东营分行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温  淼</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6098723</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18506463008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齐鲁银行东营分行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朱  瑞</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6079578</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19806053666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浙商银行东营分行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张  超</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7763717</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18705460157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烟台银行东营分行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李青霞</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8158906</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13325060659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垦利农商银行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唐淑朋</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2588588</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18678632597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利津农商银行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李永兵</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5628895</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13854606585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广饶农商银行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燕中元</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6456211</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15963869301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东营莱商村镇银行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冯  凯</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8036887</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18562088061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东营河口中成村镇银行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孙丹阳</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8875877</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15318312707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东营融和村镇银行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宋  娟</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7905808</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18654629776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利津舜丰村镇银行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薄其涛</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5028679</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13589991807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垦利乐安村镇银行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李国超</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2779866</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18105460770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广饶梁邹村镇银行</w:t>
            </w:r>
          </w:p>
        </w:tc>
        <w:tc>
          <w:tcPr>
            <w:tcW w:w="7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苏媛媛</w:t>
            </w:r>
          </w:p>
        </w:tc>
        <w:tc>
          <w:tcPr>
            <w:tcW w:w="1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6442864</w:t>
            </w:r>
          </w:p>
        </w:tc>
        <w:tc>
          <w:tcPr>
            <w:tcW w:w="14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18562066326</w:t>
            </w:r>
          </w:p>
        </w:tc>
      </w:tr>
    </w:tbl>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textAlignment w:val="auto"/>
        <w:rPr>
          <w:rFonts w:hint="eastAsia" w:ascii="仿宋_GB2312" w:hAnsi="仿宋_GB2312" w:eastAsia="仿宋_GB2312" w:cs="仿宋_GB2312"/>
          <w:color w:val="auto"/>
          <w:kern w:val="2"/>
          <w:sz w:val="32"/>
          <w:szCs w:val="3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rPr>
      </w:pP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left="0" w:leftChars="0" w:firstLine="0" w:firstLineChars="0"/>
        <w:jc w:val="center"/>
        <w:outlineLvl w:val="1"/>
        <w:rPr>
          <w:rFonts w:hint="eastAsia" w:ascii="仿宋_GB2312" w:hAnsi="仿宋_GB2312" w:eastAsia="仿宋_GB2312" w:cs="仿宋_GB2312"/>
          <w:b/>
          <w:bCs/>
          <w:sz w:val="32"/>
          <w:szCs w:val="32"/>
        </w:rPr>
      </w:pPr>
      <w:bookmarkStart w:id="55" w:name="_Toc1185"/>
      <w:r>
        <w:rPr>
          <w:rFonts w:hint="eastAsia" w:ascii="方正小标宋简体" w:hAnsi="方正小标宋简体" w:eastAsia="方正小标宋简体" w:cs="方正小标宋简体"/>
          <w:b w:val="0"/>
          <w:bCs w:val="0"/>
          <w:sz w:val="36"/>
          <w:szCs w:val="36"/>
        </w:rPr>
        <w:t>再贴现“专精特新”专项引导政策</w:t>
      </w:r>
      <w:bookmarkEnd w:id="55"/>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一、服务对象和范围</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“专精特新”中小企业，包括经国家和省工信部</w:t>
      </w:r>
      <w:r>
        <w:rPr>
          <w:rFonts w:hint="eastAsia" w:ascii="仿宋" w:hAnsi="仿宋" w:eastAsia="仿宋" w:cs="仿宋"/>
          <w:sz w:val="32"/>
          <w:szCs w:val="32"/>
          <w:lang w:eastAsia="zh-CN"/>
        </w:rPr>
        <w:t>门</w:t>
      </w:r>
      <w:r>
        <w:rPr>
          <w:rFonts w:hint="eastAsia" w:ascii="仿宋" w:hAnsi="仿宋" w:eastAsia="仿宋" w:cs="仿宋"/>
          <w:sz w:val="32"/>
          <w:szCs w:val="32"/>
        </w:rPr>
        <w:t>认定公布的国家级专精特新“小巨人”企业、省级“专精特新”中小企业和瞪羚独角兽企业、纳入省优质中小企业梯度培育的创新型中小企业，国家级、省级制造业单项冠军企业。</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二、概念解释</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再贴现“专精特新”引导，是指人民银行为金融机构提供再贴现资金，支持金融机构为“专精特新”中小企业签发、承兑或持有的票据办理贴现，助力全省“专精特新”中小企业加快发展。</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三、政策名称或政策依据</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2022年5月5日，中国人民银行济南分行、山东省工业和信息化厅出台了《山东省再贴现“专精特新”引导管理办法》（济银发[2021]59号）。政策有效期：2022年5月5日至2025年12月31日。</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四、政策措施内容及标准</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全省设立50亿元再贴现“专精特新”引导专项额度，再贴现期限不超过6个月，目前再贴现利率为2%，金融机构贴现次日即可向人民银行申请再贴现。金融机构用于申请再贴现“专精特新”引导的票据中，出票人、承兑人或贴现人中至少有一方应为名单制管理内的企业，且贴现企业为山东省内企业。</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五、申请办理流程</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_GB2312" w:hAnsi="仿宋_GB2312" w:eastAsia="仿宋_GB2312" w:cs="仿宋_GB2312"/>
          <w:color w:val="auto"/>
          <w:kern w:val="2"/>
          <w:sz w:val="32"/>
          <w:szCs w:val="32"/>
          <w:lang w:val="en-US" w:eastAsia="zh-CN" w:bidi="ar-SA"/>
        </w:rPr>
      </w:pPr>
      <w:r>
        <w:rPr>
          <w:rFonts w:hint="eastAsia" w:ascii="仿宋" w:hAnsi="仿宋" w:eastAsia="仿宋" w:cs="仿宋"/>
          <w:sz w:val="32"/>
          <w:szCs w:val="32"/>
        </w:rPr>
        <w:t>属于支持范围内的企业可以主动与相关金融机构咨询专员联系对接，积极通过贴现方式进行融资，提高获得信贷资金便捷度。</w:t>
      </w:r>
    </w:p>
    <w:tbl>
      <w:tblPr>
        <w:tblStyle w:val="21"/>
        <w:tblW w:w="839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192"/>
        <w:gridCol w:w="1440"/>
        <w:gridCol w:w="1680"/>
        <w:gridCol w:w="2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319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黑体" w:hAnsi="宋体" w:eastAsia="黑体" w:cs="黑体"/>
                <w:i w:val="0"/>
                <w:iCs w:val="0"/>
                <w:color w:val="000000"/>
                <w:sz w:val="24"/>
                <w:szCs w:val="24"/>
                <w:u w:val="none"/>
              </w:rPr>
            </w:pPr>
            <w:r>
              <w:rPr>
                <w:rFonts w:hint="default" w:ascii="黑体" w:hAnsi="宋体" w:eastAsia="黑体" w:cs="黑体"/>
                <w:i w:val="0"/>
                <w:iCs w:val="0"/>
                <w:color w:val="000000"/>
                <w:kern w:val="0"/>
                <w:sz w:val="24"/>
                <w:szCs w:val="24"/>
                <w:u w:val="none"/>
                <w:lang w:val="en-US" w:eastAsia="zh-CN" w:bidi="ar"/>
              </w:rPr>
              <w:t>银行</w:t>
            </w:r>
          </w:p>
        </w:tc>
        <w:tc>
          <w:tcPr>
            <w:tcW w:w="144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黑体" w:hAnsi="宋体" w:eastAsia="黑体" w:cs="黑体"/>
                <w:i w:val="0"/>
                <w:iCs w:val="0"/>
                <w:color w:val="000000"/>
                <w:sz w:val="24"/>
                <w:szCs w:val="24"/>
                <w:u w:val="none"/>
              </w:rPr>
            </w:pPr>
            <w:r>
              <w:rPr>
                <w:rFonts w:hint="default" w:ascii="黑体" w:hAnsi="宋体" w:eastAsia="黑体" w:cs="黑体"/>
                <w:i w:val="0"/>
                <w:iCs w:val="0"/>
                <w:color w:val="000000"/>
                <w:kern w:val="0"/>
                <w:sz w:val="24"/>
                <w:szCs w:val="24"/>
                <w:u w:val="none"/>
                <w:lang w:val="en-US" w:eastAsia="zh-CN" w:bidi="ar"/>
              </w:rPr>
              <w:t>姓名</w:t>
            </w:r>
          </w:p>
        </w:tc>
        <w:tc>
          <w:tcPr>
            <w:tcW w:w="168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黑体" w:hAnsi="宋体" w:eastAsia="黑体" w:cs="黑体"/>
                <w:i w:val="0"/>
                <w:iCs w:val="0"/>
                <w:color w:val="000000"/>
                <w:sz w:val="24"/>
                <w:szCs w:val="24"/>
                <w:u w:val="none"/>
              </w:rPr>
            </w:pPr>
            <w:r>
              <w:rPr>
                <w:rFonts w:hint="default" w:ascii="黑体" w:hAnsi="宋体" w:eastAsia="黑体" w:cs="黑体"/>
                <w:i w:val="0"/>
                <w:iCs w:val="0"/>
                <w:color w:val="000000"/>
                <w:kern w:val="0"/>
                <w:sz w:val="24"/>
                <w:szCs w:val="24"/>
                <w:u w:val="none"/>
                <w:lang w:val="en-US" w:eastAsia="zh-CN" w:bidi="ar"/>
              </w:rPr>
              <w:t>座机</w:t>
            </w:r>
          </w:p>
        </w:tc>
        <w:tc>
          <w:tcPr>
            <w:tcW w:w="208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黑体" w:hAnsi="宋体" w:eastAsia="黑体" w:cs="黑体"/>
                <w:i w:val="0"/>
                <w:iCs w:val="0"/>
                <w:color w:val="000000"/>
                <w:sz w:val="24"/>
                <w:szCs w:val="24"/>
                <w:u w:val="none"/>
              </w:rPr>
            </w:pPr>
            <w:r>
              <w:rPr>
                <w:rFonts w:hint="default" w:ascii="黑体" w:hAnsi="宋体" w:eastAsia="黑体" w:cs="黑体"/>
                <w:i w:val="0"/>
                <w:iCs w:val="0"/>
                <w:color w:val="000000"/>
                <w:kern w:val="0"/>
                <w:sz w:val="24"/>
                <w:szCs w:val="24"/>
                <w:u w:val="none"/>
                <w:lang w:val="en-US" w:eastAsia="zh-CN" w:bidi="ar"/>
              </w:rPr>
              <w:t>手机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人民银行东营市中心支行</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赵玉晓</w:t>
            </w:r>
          </w:p>
        </w:tc>
        <w:tc>
          <w:tcPr>
            <w:tcW w:w="16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8305371</w:t>
            </w:r>
          </w:p>
        </w:tc>
        <w:tc>
          <w:tcPr>
            <w:tcW w:w="2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18366912917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农业发展银行东营市分行</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焦  莹</w:t>
            </w:r>
          </w:p>
        </w:tc>
        <w:tc>
          <w:tcPr>
            <w:tcW w:w="16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8329798</w:t>
            </w:r>
          </w:p>
        </w:tc>
        <w:tc>
          <w:tcPr>
            <w:tcW w:w="2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15263816186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工商银行东营分行</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刘延峰</w:t>
            </w:r>
          </w:p>
        </w:tc>
        <w:tc>
          <w:tcPr>
            <w:tcW w:w="16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8307060</w:t>
            </w:r>
          </w:p>
        </w:tc>
        <w:tc>
          <w:tcPr>
            <w:tcW w:w="2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13505462636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农业银行东营分行</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魏  婕</w:t>
            </w:r>
          </w:p>
        </w:tc>
        <w:tc>
          <w:tcPr>
            <w:tcW w:w="16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6629125</w:t>
            </w:r>
          </w:p>
        </w:tc>
        <w:tc>
          <w:tcPr>
            <w:tcW w:w="2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13954640698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中国银行东营分行</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任爱霞</w:t>
            </w:r>
          </w:p>
        </w:tc>
        <w:tc>
          <w:tcPr>
            <w:tcW w:w="16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8928067</w:t>
            </w:r>
          </w:p>
        </w:tc>
        <w:tc>
          <w:tcPr>
            <w:tcW w:w="2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13054692369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建设银行东营分行</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陈鲁宁</w:t>
            </w:r>
          </w:p>
        </w:tc>
        <w:tc>
          <w:tcPr>
            <w:tcW w:w="16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8203962</w:t>
            </w:r>
          </w:p>
        </w:tc>
        <w:tc>
          <w:tcPr>
            <w:tcW w:w="2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18615996902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东营银行</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尚华懿</w:t>
            </w:r>
          </w:p>
        </w:tc>
        <w:tc>
          <w:tcPr>
            <w:tcW w:w="16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8078237</w:t>
            </w:r>
          </w:p>
        </w:tc>
        <w:tc>
          <w:tcPr>
            <w:tcW w:w="2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13365465783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东营农商银行</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张画画</w:t>
            </w:r>
          </w:p>
        </w:tc>
        <w:tc>
          <w:tcPr>
            <w:tcW w:w="16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8209508</w:t>
            </w:r>
          </w:p>
        </w:tc>
        <w:tc>
          <w:tcPr>
            <w:tcW w:w="2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15006857877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交通银行东营分行</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段立宁</w:t>
            </w:r>
          </w:p>
        </w:tc>
        <w:tc>
          <w:tcPr>
            <w:tcW w:w="16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8831797</w:t>
            </w:r>
          </w:p>
        </w:tc>
        <w:tc>
          <w:tcPr>
            <w:tcW w:w="2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18654629690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邮政储蓄银行东营市分行</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毛心旭</w:t>
            </w:r>
          </w:p>
        </w:tc>
        <w:tc>
          <w:tcPr>
            <w:tcW w:w="16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6377753</w:t>
            </w:r>
          </w:p>
        </w:tc>
        <w:tc>
          <w:tcPr>
            <w:tcW w:w="2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18906476918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恒丰银行东营分行</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卜良良</w:t>
            </w:r>
          </w:p>
        </w:tc>
        <w:tc>
          <w:tcPr>
            <w:tcW w:w="16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7765065</w:t>
            </w:r>
          </w:p>
        </w:tc>
        <w:tc>
          <w:tcPr>
            <w:tcW w:w="2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18654689007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华夏银行东营分行</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董珊娜</w:t>
            </w:r>
          </w:p>
        </w:tc>
        <w:tc>
          <w:tcPr>
            <w:tcW w:w="16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8178912</w:t>
            </w:r>
          </w:p>
        </w:tc>
        <w:tc>
          <w:tcPr>
            <w:tcW w:w="2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18905460195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中信银行东营分行</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纪艳红</w:t>
            </w:r>
          </w:p>
        </w:tc>
        <w:tc>
          <w:tcPr>
            <w:tcW w:w="16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7922269</w:t>
            </w:r>
          </w:p>
        </w:tc>
        <w:tc>
          <w:tcPr>
            <w:tcW w:w="2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15275655277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民生银行东营分行</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王蕴龙</w:t>
            </w:r>
          </w:p>
        </w:tc>
        <w:tc>
          <w:tcPr>
            <w:tcW w:w="16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8100380</w:t>
            </w:r>
          </w:p>
        </w:tc>
        <w:tc>
          <w:tcPr>
            <w:tcW w:w="2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18354690699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招商银行东营分行</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綦  娜</w:t>
            </w:r>
          </w:p>
        </w:tc>
        <w:tc>
          <w:tcPr>
            <w:tcW w:w="16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8655003</w:t>
            </w:r>
          </w:p>
        </w:tc>
        <w:tc>
          <w:tcPr>
            <w:tcW w:w="2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15954677393</w:t>
            </w:r>
          </w:p>
        </w:tc>
      </w:tr>
    </w:tbl>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textAlignment w:val="auto"/>
        <w:rPr>
          <w:rFonts w:hint="eastAsia" w:ascii="仿宋_GB2312" w:hAnsi="仿宋_GB2312" w:eastAsia="仿宋_GB2312" w:cs="仿宋_GB2312"/>
          <w:color w:val="auto"/>
          <w:kern w:val="2"/>
          <w:sz w:val="32"/>
          <w:szCs w:val="3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809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032"/>
        <w:gridCol w:w="1733"/>
        <w:gridCol w:w="1440"/>
        <w:gridCol w:w="18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single" w:color="auto" w:sz="4" w:space="0"/>
              <w:left w:val="single" w:color="auto" w:sz="4"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浦发银行东营分行</w:t>
            </w:r>
          </w:p>
        </w:tc>
        <w:tc>
          <w:tcPr>
            <w:tcW w:w="1733"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王 </w:t>
            </w:r>
            <w:r>
              <w:rPr>
                <w:rStyle w:val="53"/>
                <w:rFonts w:hAnsi="宋体"/>
                <w:sz w:val="24"/>
                <w:szCs w:val="24"/>
                <w:lang w:val="en-US" w:eastAsia="zh-CN" w:bidi="ar"/>
              </w:rPr>
              <w:t xml:space="preserve"> 敏</w:t>
            </w:r>
          </w:p>
        </w:tc>
        <w:tc>
          <w:tcPr>
            <w:tcW w:w="1440"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8075871</w:t>
            </w:r>
          </w:p>
        </w:tc>
        <w:tc>
          <w:tcPr>
            <w:tcW w:w="1893" w:type="dxa"/>
            <w:tcBorders>
              <w:top w:val="single" w:color="auto" w:sz="4" w:space="0"/>
              <w:left w:val="single" w:color="000000" w:sz="8" w:space="0"/>
              <w:bottom w:val="single" w:color="000000" w:sz="8"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Style w:val="53"/>
                <w:rFonts w:hAnsi="宋体"/>
                <w:sz w:val="24"/>
                <w:szCs w:val="24"/>
                <w:lang w:val="en-US" w:eastAsia="zh-CN" w:bidi="ar"/>
              </w:rPr>
              <w:t>15266007166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nil"/>
              <w:left w:val="single" w:color="auto" w:sz="4" w:space="0"/>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青岛银行东营分行</w:t>
            </w:r>
          </w:p>
        </w:tc>
        <w:tc>
          <w:tcPr>
            <w:tcW w:w="1733" w:type="dxa"/>
            <w:tcBorders>
              <w:top w:val="nil"/>
              <w:left w:val="single" w:color="000000" w:sz="8" w:space="0"/>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吴晓敏</w:t>
            </w:r>
          </w:p>
        </w:tc>
        <w:tc>
          <w:tcPr>
            <w:tcW w:w="1440" w:type="dxa"/>
            <w:tcBorders>
              <w:top w:val="nil"/>
              <w:left w:val="single" w:color="000000" w:sz="8" w:space="0"/>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8975313</w:t>
            </w:r>
          </w:p>
        </w:tc>
        <w:tc>
          <w:tcPr>
            <w:tcW w:w="1893" w:type="dxa"/>
            <w:tcBorders>
              <w:top w:val="nil"/>
              <w:left w:val="single" w:color="000000" w:sz="8"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18605434678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光大银行东营分行</w:t>
            </w:r>
          </w:p>
        </w:tc>
        <w:tc>
          <w:tcPr>
            <w:tcW w:w="1733"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魏永强</w:t>
            </w:r>
          </w:p>
        </w:tc>
        <w:tc>
          <w:tcPr>
            <w:tcW w:w="1440"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7279109</w:t>
            </w:r>
          </w:p>
        </w:tc>
        <w:tc>
          <w:tcPr>
            <w:tcW w:w="1893"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15065468072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齐商银行东营分行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胡小敏</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8831032</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15954791257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兴业银行东营分行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张晓璇</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8191910</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15805468169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天津银行东营分行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张春雨</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7278127</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13864783115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威海市商业银行东营分行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任  静</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8150986</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18766796607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平安银行东营分行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尚少奇</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7076932</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18954669777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广发银行东营分行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温  淼</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6098723</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18506463008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齐鲁银行东营分行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朱  瑞</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6079578</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19806053666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浙商银行东营分行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张  超</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7763717</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18705460157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烟台银行东营分行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李青霞</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8158906</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13325060659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垦利农商银行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唐淑朋</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2588588</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18678632597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利津农商银行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李永兵</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5628895</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13854606585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广饶农商银行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燕中元</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6456211</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15963869301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东营莱商村镇银行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冯  凯</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8036887</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18562088061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东营河口中成村镇银行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孙丹阳</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8875877</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15318312707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东营融和村镇银行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宋  娟</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7905808</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18654629776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利津舜丰村镇银行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薄其涛</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5028679</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13589991807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垦利乐安村镇银行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李国超</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2779866</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18105460770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广饶梁邹村镇银行</w:t>
            </w:r>
          </w:p>
        </w:tc>
        <w:tc>
          <w:tcPr>
            <w:tcW w:w="17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苏媛媛</w:t>
            </w:r>
          </w:p>
        </w:tc>
        <w:tc>
          <w:tcPr>
            <w:tcW w:w="14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6442864</w:t>
            </w:r>
          </w:p>
        </w:tc>
        <w:tc>
          <w:tcPr>
            <w:tcW w:w="18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18562066326</w:t>
            </w:r>
          </w:p>
        </w:tc>
      </w:tr>
    </w:tbl>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left="0" w:leftChars="0" w:firstLine="0" w:firstLineChars="0"/>
        <w:jc w:val="both"/>
        <w:outlineLvl w:val="1"/>
        <w:rPr>
          <w:rFonts w:hint="eastAsia" w:ascii="方正小标宋简体" w:hAnsi="方正小标宋简体" w:eastAsia="方正小标宋简体" w:cs="方正小标宋简体"/>
          <w:b w:val="0"/>
          <w:bCs w:val="0"/>
          <w:sz w:val="36"/>
          <w:szCs w:val="36"/>
        </w:rPr>
      </w:pPr>
    </w:p>
    <w:p>
      <w:pPr>
        <w:pStyle w:val="2"/>
        <w:rPr>
          <w:rFonts w:hint="eastAsia"/>
        </w:rPr>
      </w:pP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rPr>
      </w:pP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rPr>
      </w:pP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rPr>
      </w:pP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rPr>
      </w:pP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rPr>
      </w:pP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rPr>
      </w:pP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left="0" w:leftChars="0" w:firstLine="0" w:firstLineChars="0"/>
        <w:jc w:val="center"/>
        <w:outlineLvl w:val="1"/>
        <w:rPr>
          <w:rFonts w:hint="eastAsia" w:ascii="仿宋_GB2312" w:hAnsi="仿宋_GB2312" w:eastAsia="仿宋_GB2312" w:cs="仿宋_GB2312"/>
          <w:b/>
          <w:bCs/>
          <w:sz w:val="32"/>
          <w:szCs w:val="32"/>
        </w:rPr>
      </w:pPr>
      <w:bookmarkStart w:id="56" w:name="_Toc13800"/>
      <w:r>
        <w:rPr>
          <w:rFonts w:hint="eastAsia" w:ascii="方正小标宋简体" w:hAnsi="方正小标宋简体" w:eastAsia="方正小标宋简体" w:cs="方正小标宋简体"/>
          <w:b w:val="0"/>
          <w:bCs w:val="0"/>
          <w:sz w:val="36"/>
          <w:szCs w:val="36"/>
        </w:rPr>
        <w:t>再贴现交通物流专项引导政策</w:t>
      </w:r>
      <w:bookmarkEnd w:id="56"/>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一、服务对象和范围</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山东省重点交通物流企业，包括道路运输、水运运输、港口营运、城市客运、地方铁路、运输机场、交通运输工程建设、收费公路运营和其他由交通运输管理部门审批、许可经营或业务指导的重点企业（包括行业中货运场站、园区、港区、堆场等交通物流类重点仓储企业），企业应管理规范、发展稳定、信誉良好。</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二、概念解释</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再贴现交通物流引导，是指人民银行为金融机构提供再贴现资金，支持金融机构为山东省重点交通物流企业签发、承兑或持有的票据办理贴现，支持全省交通物流畅通和产业链供应链稳定循环。</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三、政策名称或政策依据</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2022年5月11日，中国人民银行济南分行、山东省交通运输厅出台了《山东省再贴现交通物流引导管理办法》（济银发[2022]63号）。政策有效期：2022年5月11日起至2023年6月30日。</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四、政策措施内容及标准</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全省设立20亿元再贴现交通物流引导专项额度，再贴现期限不超过6个月，目前再贴现利率为2%，金融机构贴现次日即可向人民银行申请再贴现。金融机构用于申请再贴现交通物流引导的票据中，出票人、承兑人或贴现人中至少有一方应为名单制管理内的企业，且贴现企业为山东省内企业。</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五、申请办理流程</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属于支持范围内的企业可以主动与相关金融机构咨询专员联系对接，积极通过贴现方式进行融资，提高获得信贷资金便捷度。</w:t>
      </w:r>
    </w:p>
    <w:p>
      <w:pPr>
        <w:pageBreakBefore w:val="0"/>
        <w:pBdr>
          <w:top w:val="none" w:color="000000" w:sz="0" w:space="0"/>
          <w:left w:val="none" w:color="000000" w:sz="0" w:space="0"/>
          <w:bottom w:val="none" w:color="000000" w:sz="0" w:space="11"/>
          <w:right w:val="none" w:color="000000" w:sz="0" w:space="0"/>
        </w:pBdr>
        <w:kinsoku/>
        <w:wordWrap/>
        <w:overflowPunct/>
        <w:topLinePunct w:val="0"/>
        <w:autoSpaceDN w:val="0"/>
        <w:bidi w:val="0"/>
        <w:adjustRightInd w:val="0"/>
        <w:spacing w:line="590" w:lineRule="exact"/>
        <w:ind w:firstLine="643" w:firstLineChars="200"/>
        <w:rPr>
          <w:rFonts w:hint="eastAsia" w:ascii="仿宋_GB2312" w:eastAsia="仿宋_GB2312"/>
          <w:b/>
          <w:sz w:val="32"/>
          <w:szCs w:val="32"/>
        </w:rPr>
      </w:pPr>
      <w:r>
        <w:rPr>
          <w:rFonts w:hint="eastAsia" w:ascii="仿宋_GB2312" w:eastAsia="仿宋_GB2312"/>
          <w:b/>
          <w:sz w:val="32"/>
          <w:szCs w:val="32"/>
        </w:rPr>
        <w:t>主办单位及联系电话：</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7"/>
        <w:gridCol w:w="1178"/>
        <w:gridCol w:w="1638"/>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黑体" w:hAnsi="黑体" w:eastAsia="黑体" w:cs="宋体"/>
                <w:kern w:val="0"/>
                <w:sz w:val="24"/>
                <w:szCs w:val="24"/>
              </w:rPr>
            </w:pPr>
            <w:r>
              <w:rPr>
                <w:rFonts w:hint="eastAsia" w:ascii="黑体" w:hAnsi="黑体" w:eastAsia="黑体" w:cs="宋体"/>
                <w:kern w:val="0"/>
                <w:sz w:val="24"/>
                <w:szCs w:val="24"/>
              </w:rPr>
              <w:t>银行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黑体" w:hAnsi="黑体" w:eastAsia="黑体" w:cs="宋体"/>
                <w:color w:val="000000"/>
                <w:kern w:val="0"/>
                <w:sz w:val="24"/>
                <w:szCs w:val="24"/>
              </w:rPr>
            </w:pPr>
            <w:r>
              <w:rPr>
                <w:rFonts w:hint="eastAsia" w:ascii="黑体" w:hAnsi="黑体" w:eastAsia="黑体" w:cs="宋体"/>
                <w:color w:val="000000"/>
                <w:kern w:val="0"/>
                <w:sz w:val="24"/>
                <w:szCs w:val="24"/>
              </w:rPr>
              <w:t>姓名</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黑体" w:hAnsi="黑体" w:eastAsia="黑体" w:cs="宋体"/>
                <w:color w:val="000000"/>
                <w:kern w:val="0"/>
                <w:sz w:val="24"/>
                <w:szCs w:val="24"/>
              </w:rPr>
            </w:pPr>
            <w:r>
              <w:rPr>
                <w:rFonts w:hint="eastAsia" w:ascii="黑体" w:hAnsi="黑体" w:eastAsia="黑体" w:cs="宋体"/>
                <w:color w:val="000000"/>
                <w:kern w:val="0"/>
                <w:sz w:val="24"/>
                <w:szCs w:val="24"/>
              </w:rPr>
              <w:t>座机</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黑体" w:hAnsi="黑体" w:eastAsia="黑体" w:cs="宋体"/>
                <w:kern w:val="0"/>
                <w:sz w:val="24"/>
                <w:szCs w:val="24"/>
              </w:rPr>
            </w:pPr>
            <w:r>
              <w:rPr>
                <w:rFonts w:hint="eastAsia" w:ascii="黑体" w:hAnsi="黑体" w:eastAsia="黑体" w:cs="宋体"/>
                <w:kern w:val="0"/>
                <w:sz w:val="24"/>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人民银行东营市中心支行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赵玉晓</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8305371</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18366912917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农业发展银行东营市分行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焦  莹</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8329798</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15263816186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工商银行东营分行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刘延峰</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8307060</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13505462636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农业银行东营分行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魏  婕</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6629125</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13954640698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中国银行东营分行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任爱霞</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8928067</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13054692369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建设银行东营分行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陈鲁宁</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8203962</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18615996902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东营银行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尚华懿</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8078237</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13365465783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东营农商银行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张画画</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8209508</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15006857877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交通银行东营分行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段立宁</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8831797</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18654629690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邮政储蓄银行东营市分行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毛心旭</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6377753</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18906476918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恒丰银行东营分行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卜良良</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7765065</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18654689007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华夏银行东营分行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董珊娜</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8178912</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18905460195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中信银行东营分行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纪艳红</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7922269</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15275655277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民生银行东营分行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王蕴龙</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8100380</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18354690699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招商银行东营分行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綦  娜</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8655003</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15954677393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浦发银行东营分行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王  敏</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8075871</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15266007166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青岛银行东营分行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吴晓敏</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8975313</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18605434678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光大银行东营分行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魏永强</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7279109</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15065468072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齐商银行东营分行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胡小敏</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8831032</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15954791257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兴业银行东营分行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张晓璇</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8191910</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15805468169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天津银行东营分行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张春雨</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7278127</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13864783115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威海市商业银行东营分行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任  静</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8150986</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18766796607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平安银行东营分行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尚少奇</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7076932</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18954669777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广发银行东营分行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温  淼</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6098723</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18506463008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齐鲁银行东营分行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朱  瑞</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6079578</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19806053666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浙商银行东营分行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张  超</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7763717</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18705460157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烟台银行东营分行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李青霞</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8158906</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13325060659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垦利农商银行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唐淑朋</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2588588</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18678632597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利津农商银行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李永兵</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5628895</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13854606585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广饶农商银行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燕中元</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6456211</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15963869301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东营莱商村镇银行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冯  凯</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8036887</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18562088061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东营河口中成村镇银行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孙丹阳</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8875877</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15318312707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东营融和村镇银行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宋  娟</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7905808</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18654629776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利津舜丰村镇银行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薄其涛</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5028679</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13589991807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垦利乐安村镇银行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李国超</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2779866</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18105460770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07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广饶梁邹村镇银行</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苏媛媛</w:t>
            </w:r>
          </w:p>
        </w:tc>
        <w:tc>
          <w:tcPr>
            <w:tcW w:w="9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6442864</w:t>
            </w:r>
          </w:p>
        </w:tc>
        <w:tc>
          <w:tcPr>
            <w:tcW w:w="1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仿宋_GB2312" w:hAnsi="宋体" w:eastAsia="仿宋_GB2312" w:cs="宋体"/>
                <w:kern w:val="0"/>
                <w:sz w:val="24"/>
                <w:szCs w:val="24"/>
              </w:rPr>
            </w:pPr>
            <w:r>
              <w:rPr>
                <w:rFonts w:hint="eastAsia" w:ascii="仿宋_GB2312" w:hAnsi="宋体" w:eastAsia="仿宋_GB2312" w:cs="宋体"/>
                <w:kern w:val="0"/>
                <w:sz w:val="24"/>
                <w:szCs w:val="24"/>
              </w:rPr>
              <w:t>18562066326</w:t>
            </w:r>
          </w:p>
        </w:tc>
      </w:tr>
    </w:tbl>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textAlignment w:val="auto"/>
        <w:rPr>
          <w:rFonts w:hint="eastAsia" w:ascii="仿宋_GB2312" w:hAnsi="仿宋_GB2312" w:eastAsia="仿宋_GB2312" w:cs="仿宋_GB2312"/>
          <w:color w:val="auto"/>
          <w:kern w:val="2"/>
          <w:sz w:val="32"/>
          <w:szCs w:val="3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ageBreakBefore w:val="0"/>
        <w:kinsoku/>
        <w:wordWrap/>
        <w:overflowPunct/>
        <w:topLinePunct w:val="0"/>
        <w:bidi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lang w:val="en"/>
        </w:rPr>
      </w:pPr>
    </w:p>
    <w:p>
      <w:pPr>
        <w:pageBreakBefore w:val="0"/>
        <w:kinsoku/>
        <w:wordWrap/>
        <w:overflowPunct/>
        <w:topLinePunct w:val="0"/>
        <w:bidi w:val="0"/>
        <w:spacing w:line="590" w:lineRule="exact"/>
        <w:ind w:left="0" w:leftChars="0" w:firstLine="0" w:firstLineChars="0"/>
        <w:jc w:val="center"/>
        <w:outlineLvl w:val="1"/>
        <w:rPr>
          <w:rFonts w:hint="default" w:ascii="宋体" w:hAnsi="宋体" w:eastAsia="方正小标宋简体" w:cs="宋体"/>
          <w:b/>
          <w:bCs/>
          <w:sz w:val="32"/>
          <w:szCs w:val="32"/>
          <w:lang w:val="en-US" w:eastAsia="zh-CN"/>
        </w:rPr>
      </w:pPr>
      <w:bookmarkStart w:id="57" w:name="_Toc12266"/>
      <w:r>
        <w:rPr>
          <w:rFonts w:hint="eastAsia" w:ascii="方正小标宋简体" w:hAnsi="方正小标宋简体" w:eastAsia="方正小标宋简体" w:cs="方正小标宋简体"/>
          <w:b w:val="0"/>
          <w:bCs w:val="0"/>
          <w:sz w:val="36"/>
          <w:szCs w:val="36"/>
          <w:lang w:val="en"/>
        </w:rPr>
        <w:t>生态环保金融支持项目管理系统</w:t>
      </w:r>
      <w:r>
        <w:rPr>
          <w:rFonts w:hint="eastAsia" w:ascii="方正小标宋简体" w:hAnsi="方正小标宋简体" w:eastAsia="方正小标宋简体" w:cs="方正小标宋简体"/>
          <w:b w:val="0"/>
          <w:bCs w:val="0"/>
          <w:sz w:val="36"/>
          <w:szCs w:val="36"/>
          <w:lang w:val="en-US" w:eastAsia="zh-CN"/>
        </w:rPr>
        <w:t>支持机制</w:t>
      </w:r>
      <w:bookmarkEnd w:id="57"/>
    </w:p>
    <w:p>
      <w:pPr>
        <w:pStyle w:val="2"/>
        <w:pageBreakBefore w:val="0"/>
        <w:kinsoku/>
        <w:wordWrap/>
        <w:overflowPunct/>
        <w:topLinePunct w:val="0"/>
        <w:bidi w:val="0"/>
        <w:spacing w:line="590" w:lineRule="exact"/>
        <w:ind w:firstLine="640" w:firstLineChars="200"/>
        <w:rPr>
          <w:rFonts w:hint="eastAsia" w:ascii="Times New Roman" w:hAnsi="Times New Roman" w:eastAsia="黑体"/>
          <w:sz w:val="32"/>
          <w:szCs w:val="32"/>
        </w:rPr>
      </w:pPr>
    </w:p>
    <w:p>
      <w:pPr>
        <w:pStyle w:val="2"/>
        <w:pageBreakBefore w:val="0"/>
        <w:kinsoku/>
        <w:wordWrap/>
        <w:overflowPunct/>
        <w:topLinePunct w:val="0"/>
        <w:bidi w:val="0"/>
        <w:spacing w:line="59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一、服务对象和范围</w:t>
      </w:r>
    </w:p>
    <w:p>
      <w:pPr>
        <w:pStyle w:val="2"/>
        <w:pageBreakBefore w:val="0"/>
        <w:kinsoku/>
        <w:wordWrap/>
        <w:overflowPunct/>
        <w:topLinePunct w:val="0"/>
        <w:bidi w:val="0"/>
        <w:spacing w:line="590" w:lineRule="exact"/>
        <w:ind w:firstLine="640" w:firstLineChars="200"/>
        <w:rPr>
          <w:rFonts w:hint="eastAsia" w:ascii="仿宋_GB2312" w:hAnsi="CESI仿宋-GB2312" w:eastAsia="仿宋_GB2312" w:cs="CESI仿宋-GB2312"/>
          <w:sz w:val="32"/>
          <w:szCs w:val="32"/>
        </w:rPr>
      </w:pPr>
      <w:r>
        <w:rPr>
          <w:rFonts w:hint="eastAsia" w:ascii="仿宋_GB2312" w:hAnsi="CESI仿宋-GB2312" w:eastAsia="仿宋_GB2312" w:cs="CESI仿宋-GB2312"/>
          <w:sz w:val="32"/>
          <w:szCs w:val="32"/>
        </w:rPr>
        <w:t>（</w:t>
      </w:r>
      <w:r>
        <w:rPr>
          <w:rFonts w:hint="eastAsia" w:ascii="仿宋_GB2312" w:hAnsi="CESI仿宋-GB2312" w:eastAsia="仿宋_GB2312" w:cs="CESI仿宋-GB2312"/>
          <w:sz w:val="32"/>
          <w:szCs w:val="32"/>
          <w:lang w:val="en-US" w:eastAsia="zh-CN"/>
        </w:rPr>
        <w:t>1</w:t>
      </w:r>
      <w:r>
        <w:rPr>
          <w:rFonts w:hint="eastAsia" w:ascii="仿宋_GB2312" w:hAnsi="CESI仿宋-GB2312" w:eastAsia="仿宋_GB2312" w:cs="CESI仿宋-GB2312"/>
          <w:sz w:val="32"/>
          <w:szCs w:val="32"/>
        </w:rPr>
        <w:t>）</w:t>
      </w:r>
      <w:r>
        <w:rPr>
          <w:rFonts w:hint="eastAsia" w:ascii="仿宋_GB2312" w:hAnsi="Times New Roman" w:eastAsia="仿宋_GB2312" w:cs="仿宋_GB2312"/>
          <w:kern w:val="0"/>
          <w:sz w:val="30"/>
          <w:szCs w:val="30"/>
        </w:rPr>
        <w:t>重点排放单位以及符合国家有关交易规则的机构和个人</w:t>
      </w:r>
      <w:r>
        <w:rPr>
          <w:rFonts w:hint="eastAsia" w:ascii="仿宋_GB2312" w:hAnsi="Times New Roman" w:eastAsia="仿宋_GB2312" w:cs="仿宋_GB2312"/>
          <w:kern w:val="0"/>
          <w:sz w:val="30"/>
          <w:szCs w:val="30"/>
          <w:lang w:eastAsia="zh-CN"/>
        </w:rPr>
        <w:t>；</w:t>
      </w:r>
      <w:r>
        <w:rPr>
          <w:rFonts w:hint="eastAsia" w:ascii="仿宋_GB2312" w:hAnsi="CESI仿宋-GB2312" w:eastAsia="仿宋_GB2312" w:cs="CESI仿宋-GB2312"/>
          <w:sz w:val="32"/>
          <w:szCs w:val="32"/>
        </w:rPr>
        <w:t>（</w:t>
      </w:r>
      <w:r>
        <w:rPr>
          <w:rFonts w:hint="eastAsia" w:ascii="仿宋_GB2312" w:hAnsi="CESI仿宋-GB2312" w:eastAsia="仿宋_GB2312" w:cs="CESI仿宋-GB2312"/>
          <w:sz w:val="32"/>
          <w:szCs w:val="32"/>
          <w:lang w:val="en-US" w:eastAsia="zh-CN"/>
        </w:rPr>
        <w:t>2</w:t>
      </w:r>
      <w:r>
        <w:rPr>
          <w:rFonts w:hint="eastAsia" w:ascii="仿宋_GB2312" w:hAnsi="CESI仿宋-GB2312" w:eastAsia="仿宋_GB2312" w:cs="CESI仿宋-GB2312"/>
          <w:sz w:val="32"/>
          <w:szCs w:val="32"/>
        </w:rPr>
        <w:t>）项目融资主体应为市场化企业，且其环保信用评价不是最低等级</w:t>
      </w:r>
      <w:r>
        <w:rPr>
          <w:rFonts w:hint="eastAsia" w:ascii="仿宋_GB2312" w:hAnsi="CESI仿宋-GB2312" w:eastAsia="仿宋_GB2312" w:cs="CESI仿宋-GB2312"/>
          <w:sz w:val="32"/>
          <w:szCs w:val="32"/>
          <w:lang w:val="en-US" w:eastAsia="zh-CN"/>
        </w:rPr>
        <w:t>；</w:t>
      </w:r>
      <w:r>
        <w:rPr>
          <w:rFonts w:hint="eastAsia" w:ascii="仿宋_GB2312" w:hAnsi="CESI仿宋-GB2312" w:eastAsia="仿宋_GB2312" w:cs="CESI仿宋-GB2312"/>
          <w:sz w:val="32"/>
          <w:szCs w:val="32"/>
        </w:rPr>
        <w:t>（</w:t>
      </w:r>
      <w:r>
        <w:rPr>
          <w:rFonts w:hint="eastAsia" w:ascii="仿宋_GB2312" w:hAnsi="CESI仿宋-GB2312" w:eastAsia="仿宋_GB2312" w:cs="CESI仿宋-GB2312"/>
          <w:sz w:val="32"/>
          <w:szCs w:val="32"/>
          <w:lang w:val="en-US" w:eastAsia="zh-CN"/>
        </w:rPr>
        <w:t>3</w:t>
      </w:r>
      <w:r>
        <w:rPr>
          <w:rFonts w:hint="eastAsia" w:ascii="仿宋_GB2312" w:hAnsi="CESI仿宋-GB2312" w:eastAsia="仿宋_GB2312" w:cs="CESI仿宋-GB2312"/>
          <w:sz w:val="32"/>
          <w:szCs w:val="32"/>
        </w:rPr>
        <w:t>）治理责任主体为企业的生态环境治理项目，单个项目融资需求原则上应超过5000万元；其他项目单个项目融资需求原则上应超过1亿元。</w:t>
      </w:r>
    </w:p>
    <w:p>
      <w:pPr>
        <w:pageBreakBefore w:val="0"/>
        <w:kinsoku/>
        <w:wordWrap/>
        <w:overflowPunct/>
        <w:topLinePunct w:val="0"/>
        <w:bidi w:val="0"/>
        <w:spacing w:line="590" w:lineRule="exact"/>
        <w:ind w:firstLine="640"/>
        <w:jc w:val="left"/>
        <w:rPr>
          <w:rFonts w:hint="eastAsia" w:ascii="仿宋_GB2312" w:hAnsi="CESI仿宋-GB2312" w:eastAsia="仿宋_GB2312" w:cs="CESI仿宋-GB2312"/>
          <w:sz w:val="32"/>
          <w:szCs w:val="32"/>
        </w:rPr>
      </w:pPr>
      <w:r>
        <w:rPr>
          <w:rFonts w:hint="eastAsia" w:ascii="仿宋_GB2312" w:hAnsi="CESI仿宋-GB2312" w:eastAsia="仿宋_GB2312" w:cs="CESI仿宋-GB2312"/>
          <w:sz w:val="32"/>
          <w:szCs w:val="32"/>
        </w:rPr>
        <w:t>EOD项目还需满足以下条件。</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lang w:val="en-US" w:eastAsia="zh-CN"/>
        </w:rPr>
        <w:t>1</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rPr>
        <w:t>地市级及以上政府作为申报主体和实施主体的EOD项目，原则上投资总额不高于50亿元；区县级政府作为申报和实施主体的项目，原则上投资总额不高于30亿元。</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lang w:val="en-US" w:eastAsia="zh-CN"/>
        </w:rPr>
        <w:t>2</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rPr>
        <w:t>项目边界清晰，生态环境治理与产业开发之间密切关联、充分融合，避免无关项目捆绑，组合实施的单体子项目数量不超过5个。</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lang w:val="en-US" w:eastAsia="zh-CN"/>
        </w:rPr>
        <w:t>3</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rPr>
        <w:t>除规范的PPP项目外，不涉及运营期间政府付费，不以土地出让收益、税收、预期新增财政收入等返还补助作为项目收益。加强重大项目谋划，优化项目建设内容，力争在不依靠政府投入的情况下实现项目整体收益与成本平衡。</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lang w:val="en-US" w:eastAsia="zh-CN"/>
        </w:rPr>
        <w:t>4</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rPr>
        <w:t>EOD项目中生态环境治理内容需符合入库范围要求，且要有明确的生态环境改善目标。产业开发要符合国家和地方产业政策、空间管控等各项要求，项目实施中严格落实招投标、政府采购、投融资、土地、资源开发、政府债务风险管控、资产处置等各项法规政策要求，依法依规推进项目规范实施，不以任何形式增加地方政府隐性债务。</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lang w:val="en-US" w:eastAsia="zh-CN"/>
        </w:rPr>
        <w:t>5</w:t>
      </w:r>
      <w:r>
        <w:rPr>
          <w:rFonts w:hint="eastAsia" w:ascii="仿宋_GB2312" w:hAnsi="CESI仿宋-GB2312" w:eastAsia="仿宋_GB2312" w:cs="CESI仿宋-GB2312"/>
          <w:sz w:val="32"/>
          <w:szCs w:val="32"/>
          <w:lang w:eastAsia="zh-CN"/>
        </w:rPr>
        <w:t>）</w:t>
      </w:r>
      <w:r>
        <w:rPr>
          <w:rFonts w:hint="eastAsia" w:ascii="仿宋_GB2312" w:hAnsi="CESI仿宋-GB2312" w:eastAsia="仿宋_GB2312" w:cs="CESI仿宋-GB2312"/>
          <w:sz w:val="32"/>
          <w:szCs w:val="32"/>
        </w:rPr>
        <w:t>各省（自治区、直辖市）每年入库EOD项目原则上不超过5个。</w:t>
      </w:r>
    </w:p>
    <w:p>
      <w:pPr>
        <w:pageBreakBefore w:val="0"/>
        <w:kinsoku/>
        <w:wordWrap/>
        <w:overflowPunct/>
        <w:topLinePunct w:val="0"/>
        <w:bidi w:val="0"/>
        <w:spacing w:line="590" w:lineRule="exact"/>
        <w:ind w:firstLine="640" w:firstLineChars="200"/>
        <w:rPr>
          <w:rFonts w:hint="eastAsia" w:ascii="CESI仿宋-GB2312" w:hAnsi="CESI仿宋-GB2312" w:eastAsia="CESI仿宋-GB2312" w:cs="CESI仿宋-GB2312"/>
          <w:sz w:val="32"/>
          <w:szCs w:val="32"/>
        </w:rPr>
      </w:pPr>
      <w:r>
        <w:rPr>
          <w:rFonts w:hint="eastAsia" w:ascii="Times New Roman" w:hAnsi="Times New Roman" w:eastAsia="黑体"/>
          <w:sz w:val="32"/>
          <w:szCs w:val="32"/>
        </w:rPr>
        <w:t>二、概念解释</w:t>
      </w:r>
    </w:p>
    <w:p>
      <w:pPr>
        <w:pageBreakBefore w:val="0"/>
        <w:kinsoku/>
        <w:wordWrap/>
        <w:overflowPunct/>
        <w:topLinePunct w:val="0"/>
        <w:bidi w:val="0"/>
        <w:spacing w:line="590" w:lineRule="exact"/>
        <w:ind w:firstLine="640"/>
        <w:jc w:val="left"/>
        <w:rPr>
          <w:rFonts w:hint="eastAsia" w:ascii="仿宋_GB2312" w:hAnsi="CESI仿宋-GB2312" w:eastAsia="仿宋_GB2312" w:cs="CESI仿宋-GB2312"/>
          <w:sz w:val="32"/>
          <w:szCs w:val="32"/>
        </w:rPr>
      </w:pPr>
      <w:r>
        <w:rPr>
          <w:rFonts w:hint="eastAsia" w:ascii="仿宋_GB2312" w:hAnsi="CESI仿宋-GB2312" w:eastAsia="仿宋_GB2312" w:cs="CESI仿宋-GB2312"/>
          <w:sz w:val="32"/>
          <w:szCs w:val="32"/>
        </w:rPr>
        <w:t>EOD项目要参考《关于推荐第二批生态环境导向的开发模式试点项目的通知》（环办科财函〔2021〕468号，以下简称《通知》）基本要求</w:t>
      </w:r>
    </w:p>
    <w:p>
      <w:pPr>
        <w:pageBreakBefore w:val="0"/>
        <w:kinsoku/>
        <w:wordWrap/>
        <w:overflowPunct/>
        <w:topLinePunct w:val="0"/>
        <w:bidi w:val="0"/>
        <w:spacing w:line="59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三、政策名称或政策依据</w:t>
      </w:r>
    </w:p>
    <w:p>
      <w:pPr>
        <w:pageBreakBefore w:val="0"/>
        <w:kinsoku/>
        <w:wordWrap/>
        <w:overflowPunct/>
        <w:topLinePunct w:val="0"/>
        <w:bidi w:val="0"/>
        <w:spacing w:line="590" w:lineRule="exact"/>
        <w:ind w:firstLine="640" w:firstLineChars="200"/>
        <w:rPr>
          <w:rFonts w:ascii="Times New Roman" w:hAnsi="Times New Roman" w:eastAsia="黑体"/>
          <w:sz w:val="32"/>
          <w:szCs w:val="32"/>
        </w:rPr>
      </w:pPr>
      <w:r>
        <w:rPr>
          <w:rFonts w:ascii="仿宋_GB2312" w:hAnsi="CESI仿宋-GB2312" w:eastAsia="仿宋_GB2312" w:cs="CESI仿宋-GB2312"/>
          <w:sz w:val="32"/>
          <w:szCs w:val="32"/>
        </w:rPr>
        <w:t>2022</w:t>
      </w:r>
      <w:r>
        <w:rPr>
          <w:rFonts w:hint="eastAsia" w:ascii="仿宋_GB2312" w:hAnsi="CESI仿宋-GB2312" w:eastAsia="仿宋_GB2312" w:cs="CESI仿宋-GB2312"/>
          <w:sz w:val="32"/>
          <w:szCs w:val="32"/>
        </w:rPr>
        <w:t>年</w:t>
      </w:r>
      <w:r>
        <w:rPr>
          <w:rFonts w:ascii="仿宋_GB2312" w:hAnsi="CESI仿宋-GB2312" w:eastAsia="仿宋_GB2312" w:cs="CESI仿宋-GB2312"/>
          <w:sz w:val="32"/>
          <w:szCs w:val="32"/>
        </w:rPr>
        <w:t>3</w:t>
      </w:r>
      <w:r>
        <w:rPr>
          <w:rFonts w:hint="eastAsia" w:ascii="仿宋_GB2312" w:hAnsi="CESI仿宋-GB2312" w:eastAsia="仿宋_GB2312" w:cs="CESI仿宋-GB2312"/>
          <w:sz w:val="32"/>
          <w:szCs w:val="32"/>
        </w:rPr>
        <w:t>月2</w:t>
      </w:r>
      <w:r>
        <w:rPr>
          <w:rFonts w:ascii="仿宋_GB2312" w:hAnsi="CESI仿宋-GB2312" w:eastAsia="仿宋_GB2312" w:cs="CESI仿宋-GB2312"/>
          <w:sz w:val="32"/>
          <w:szCs w:val="32"/>
        </w:rPr>
        <w:t>4</w:t>
      </w:r>
      <w:r>
        <w:rPr>
          <w:rFonts w:hint="eastAsia" w:ascii="仿宋_GB2312" w:hAnsi="CESI仿宋-GB2312" w:eastAsia="仿宋_GB2312" w:cs="CESI仿宋-GB2312"/>
          <w:sz w:val="32"/>
          <w:szCs w:val="32"/>
        </w:rPr>
        <w:t>日，生态环境部办公厅下发《关于生态环保金融支持项目管理系统上线的通知》（环办便函〔2022〕37号），转发生态环境部办公厅《关于生态环保金融支持项目管理系统上线的通知》《生态环保金融支持项目储备库入库指南（试行）》的通知（鲁环办综合函〔2022〕57号）。</w:t>
      </w:r>
    </w:p>
    <w:p>
      <w:pPr>
        <w:pageBreakBefore w:val="0"/>
        <w:kinsoku/>
        <w:wordWrap/>
        <w:overflowPunct/>
        <w:topLinePunct w:val="0"/>
        <w:bidi w:val="0"/>
        <w:spacing w:line="59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四、政策措施内容及标准</w:t>
      </w:r>
    </w:p>
    <w:p>
      <w:pPr>
        <w:pageBreakBefore w:val="0"/>
        <w:kinsoku/>
        <w:wordWrap/>
        <w:overflowPunct/>
        <w:topLinePunct w:val="0"/>
        <w:bidi w:val="0"/>
        <w:spacing w:line="590" w:lineRule="exact"/>
        <w:ind w:firstLine="640" w:firstLineChars="200"/>
        <w:rPr>
          <w:rFonts w:ascii="Times New Roman" w:hAnsi="Times New Roman" w:eastAsia="黑体"/>
          <w:sz w:val="32"/>
          <w:szCs w:val="32"/>
        </w:rPr>
      </w:pPr>
      <w:r>
        <w:rPr>
          <w:rFonts w:hint="eastAsia" w:ascii="仿宋_GB2312" w:hAnsi="CESI仿宋-GB2312" w:eastAsia="仿宋_GB2312" w:cs="CESI仿宋-GB2312"/>
          <w:sz w:val="32"/>
          <w:szCs w:val="32"/>
        </w:rPr>
        <w:t>加强生态环保重点任务与金融资金的供需对接、提高金融资金支持打好污染攻坚战的效率和精确性</w:t>
      </w:r>
    </w:p>
    <w:p>
      <w:pPr>
        <w:pageBreakBefore w:val="0"/>
        <w:kinsoku/>
        <w:wordWrap/>
        <w:overflowPunct/>
        <w:topLinePunct w:val="0"/>
        <w:bidi w:val="0"/>
        <w:spacing w:line="59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五、申报办理流程</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Times New Roman" w:hAnsi="Times New Roman" w:eastAsia="黑体"/>
          <w:sz w:val="32"/>
          <w:szCs w:val="32"/>
        </w:rPr>
      </w:pPr>
      <w:r>
        <w:rPr>
          <w:rFonts w:hint="eastAsia" w:ascii="仿宋_GB2312" w:hAnsi="CESI仿宋-GB2312" w:eastAsia="仿宋_GB2312" w:cs="CESI仿宋-GB2312"/>
          <w:sz w:val="32"/>
          <w:szCs w:val="32"/>
        </w:rPr>
        <w:t>按照“成熟一个，申报一个”的原则，由县级及以上生态环境部门通过生态环保金融支持项目管理系统线上申报，省级生态环境部门论证评估同意后由线上提交。</w:t>
      </w:r>
    </w:p>
    <w:p>
      <w:pPr>
        <w:pStyle w:val="2"/>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仿宋_GB2312" w:hAnsi="CESI仿宋-GB2312" w:eastAsia="仿宋_GB2312" w:cs="CESI仿宋-GB2312"/>
          <w:kern w:val="2"/>
          <w:sz w:val="32"/>
          <w:szCs w:val="32"/>
          <w:highlight w:val="yellow"/>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90" w:lineRule="exact"/>
        <w:textAlignment w:val="auto"/>
        <w:rPr>
          <w:rFonts w:hint="default" w:ascii="CESI楷体-GB2312" w:hAnsi="CESI楷体-GB2312" w:eastAsia="CESI楷体-GB2312" w:cs="CESI楷体-GB2312"/>
          <w:kern w:val="2"/>
          <w:sz w:val="32"/>
          <w:szCs w:val="32"/>
          <w:highlight w:val="none"/>
          <w:lang w:val="en-US" w:eastAsia="zh-CN" w:bidi="ar-SA"/>
        </w:rPr>
      </w:pPr>
      <w:r>
        <w:rPr>
          <w:rFonts w:hint="eastAsia" w:ascii="CESI楷体-GB2312" w:hAnsi="CESI楷体-GB2312" w:eastAsia="CESI楷体-GB2312" w:cs="CESI楷体-GB2312"/>
          <w:kern w:val="2"/>
          <w:sz w:val="32"/>
          <w:szCs w:val="32"/>
          <w:highlight w:val="none"/>
          <w:lang w:val="en-US" w:eastAsia="zh-CN" w:bidi="ar-SA"/>
        </w:rPr>
        <w:t>主办单位：生态环境局综合科   联系电话：8090092</w:t>
      </w:r>
    </w:p>
    <w:p>
      <w:pPr>
        <w:pageBreakBefore w:val="0"/>
        <w:kinsoku/>
        <w:wordWrap/>
        <w:overflowPunct/>
        <w:topLinePunct w:val="0"/>
        <w:bidi w:val="0"/>
        <w:adjustRightInd w:val="0"/>
        <w:snapToGrid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lang w:val="en"/>
        </w:rPr>
      </w:pPr>
    </w:p>
    <w:p>
      <w:pPr>
        <w:pageBreakBefore w:val="0"/>
        <w:kinsoku/>
        <w:wordWrap/>
        <w:overflowPunct/>
        <w:topLinePunct w:val="0"/>
        <w:bidi w:val="0"/>
        <w:adjustRightInd w:val="0"/>
        <w:snapToGrid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lang w:val="en"/>
        </w:rPr>
      </w:pPr>
    </w:p>
    <w:p>
      <w:pPr>
        <w:pageBreakBefore w:val="0"/>
        <w:kinsoku/>
        <w:wordWrap/>
        <w:overflowPunct/>
        <w:topLinePunct w:val="0"/>
        <w:bidi w:val="0"/>
        <w:adjustRightInd w:val="0"/>
        <w:snapToGrid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val="0"/>
          <w:sz w:val="36"/>
          <w:szCs w:val="36"/>
          <w:lang w:val="en"/>
        </w:rPr>
      </w:pPr>
    </w:p>
    <w:p>
      <w:pPr>
        <w:pageBreakBefore w:val="0"/>
        <w:kinsoku/>
        <w:wordWrap/>
        <w:overflowPunct/>
        <w:topLinePunct w:val="0"/>
        <w:bidi w:val="0"/>
        <w:adjustRightInd w:val="0"/>
        <w:snapToGrid w:val="0"/>
        <w:spacing w:line="590" w:lineRule="exact"/>
        <w:ind w:left="0" w:leftChars="0" w:firstLine="0" w:firstLineChars="0"/>
        <w:jc w:val="center"/>
        <w:outlineLvl w:val="1"/>
        <w:rPr>
          <w:rFonts w:hint="eastAsia" w:ascii="仿宋_GB2312" w:hAnsi="CESI仿宋-GB2312" w:eastAsia="方正小标宋简体" w:cs="CESI仿宋-GB2312"/>
          <w:sz w:val="32"/>
          <w:szCs w:val="32"/>
          <w:lang w:val="en-US" w:eastAsia="zh-CN"/>
        </w:rPr>
      </w:pPr>
      <w:bookmarkStart w:id="58" w:name="_Toc2705"/>
      <w:r>
        <w:rPr>
          <w:rFonts w:hint="eastAsia" w:ascii="方正小标宋简体" w:hAnsi="方正小标宋简体" w:eastAsia="方正小标宋简体" w:cs="方正小标宋简体"/>
          <w:b w:val="0"/>
          <w:bCs w:val="0"/>
          <w:sz w:val="36"/>
          <w:szCs w:val="36"/>
          <w:lang w:val="en"/>
        </w:rPr>
        <w:t>山东省环保金融项目库</w:t>
      </w:r>
      <w:r>
        <w:rPr>
          <w:rFonts w:hint="eastAsia" w:ascii="方正小标宋简体" w:hAnsi="方正小标宋简体" w:eastAsia="方正小标宋简体" w:cs="方正小标宋简体"/>
          <w:b w:val="0"/>
          <w:bCs w:val="0"/>
          <w:sz w:val="36"/>
          <w:szCs w:val="36"/>
          <w:lang w:val="en-US" w:eastAsia="zh-CN"/>
        </w:rPr>
        <w:t>支持机制</w:t>
      </w:r>
      <w:bookmarkEnd w:id="58"/>
    </w:p>
    <w:p>
      <w:pPr>
        <w:pStyle w:val="2"/>
        <w:pageBreakBefore w:val="0"/>
        <w:kinsoku/>
        <w:wordWrap/>
        <w:overflowPunct/>
        <w:topLinePunct w:val="0"/>
        <w:bidi w:val="0"/>
        <w:spacing w:line="590" w:lineRule="exact"/>
        <w:ind w:firstLine="640" w:firstLineChars="200"/>
        <w:rPr>
          <w:rFonts w:hint="eastAsia" w:ascii="Times New Roman" w:hAnsi="Times New Roman" w:eastAsia="黑体"/>
          <w:sz w:val="32"/>
          <w:szCs w:val="32"/>
        </w:rPr>
      </w:pPr>
    </w:p>
    <w:p>
      <w:pPr>
        <w:pStyle w:val="2"/>
        <w:pageBreakBefore w:val="0"/>
        <w:kinsoku/>
        <w:wordWrap/>
        <w:overflowPunct/>
        <w:topLinePunct w:val="0"/>
        <w:bidi w:val="0"/>
        <w:spacing w:line="590" w:lineRule="exact"/>
        <w:ind w:firstLine="640" w:firstLineChars="200"/>
        <w:rPr>
          <w:rFonts w:ascii="CESI仿宋-GB2312" w:hAnsi="CESI仿宋-GB2312" w:eastAsia="CESI仿宋-GB2312" w:cs="CESI仿宋-GB2312"/>
          <w:sz w:val="32"/>
          <w:szCs w:val="32"/>
        </w:rPr>
      </w:pPr>
      <w:r>
        <w:rPr>
          <w:rFonts w:hint="eastAsia" w:ascii="Times New Roman" w:hAnsi="Times New Roman" w:eastAsia="黑体"/>
          <w:sz w:val="32"/>
          <w:szCs w:val="32"/>
        </w:rPr>
        <w:t>一、服务对象和范围</w:t>
      </w:r>
    </w:p>
    <w:p>
      <w:pPr>
        <w:pageBreakBefore w:val="0"/>
        <w:kinsoku/>
        <w:wordWrap/>
        <w:overflowPunct/>
        <w:topLinePunct w:val="0"/>
        <w:bidi w:val="0"/>
        <w:spacing w:line="590" w:lineRule="exact"/>
        <w:ind w:firstLine="640"/>
        <w:jc w:val="left"/>
        <w:rPr>
          <w:rFonts w:hint="eastAsia" w:ascii="Times New Roman" w:hAnsi="Times New Roman" w:eastAsia="黑体"/>
          <w:sz w:val="32"/>
          <w:szCs w:val="32"/>
        </w:rPr>
      </w:pPr>
      <w:r>
        <w:rPr>
          <w:rFonts w:hint="eastAsia" w:ascii="仿宋_GB2312" w:hAnsi="CESI仿宋-GB2312" w:eastAsia="仿宋_GB2312" w:cs="CESI仿宋-GB2312"/>
          <w:sz w:val="32"/>
          <w:szCs w:val="32"/>
        </w:rPr>
        <w:t>项目列入《山东省环保金融项目目录》，申请的资格：环保金融项目申报的项目承担单位须具备以下条件：（一）合法注册的法人单位，且存续期满1年的；（二）无不良信用记录的，包括无违反“绿色门槛”制度、信贷/债券等逾期、担保的企业违约、企业违法违规等情况；（三）近3年中央和省级生态环境保护督察及“回头看”未发现重大问题的；（四）近3年内未发生重、特大突发环境事件或生态破坏事件的</w:t>
      </w:r>
      <w:r>
        <w:rPr>
          <w:rFonts w:hint="eastAsia" w:ascii="CESI仿宋-GB2312" w:hAnsi="CESI仿宋-GB2312" w:eastAsia="CESI仿宋-GB2312" w:cs="CESI仿宋-GB2312"/>
          <w:sz w:val="32"/>
          <w:szCs w:val="32"/>
        </w:rPr>
        <w:t>。</w:t>
      </w:r>
    </w:p>
    <w:p>
      <w:pPr>
        <w:pageBreakBefore w:val="0"/>
        <w:kinsoku/>
        <w:wordWrap/>
        <w:overflowPunct/>
        <w:topLinePunct w:val="0"/>
        <w:bidi w:val="0"/>
        <w:spacing w:line="590" w:lineRule="exact"/>
        <w:ind w:firstLine="640" w:firstLineChars="200"/>
        <w:rPr>
          <w:rFonts w:ascii="Times New Roman" w:hAnsi="Times New Roman" w:eastAsia="黑体"/>
          <w:sz w:val="32"/>
          <w:szCs w:val="32"/>
        </w:rPr>
      </w:pPr>
      <w:r>
        <w:rPr>
          <w:rFonts w:hint="eastAsia" w:ascii="Times New Roman" w:hAnsi="Times New Roman" w:eastAsia="黑体"/>
          <w:sz w:val="32"/>
          <w:szCs w:val="32"/>
          <w:lang w:val="en-US" w:eastAsia="zh-CN"/>
        </w:rPr>
        <w:t>二</w:t>
      </w:r>
      <w:r>
        <w:rPr>
          <w:rFonts w:hint="eastAsia" w:ascii="Times New Roman" w:hAnsi="Times New Roman" w:eastAsia="黑体"/>
          <w:sz w:val="32"/>
          <w:szCs w:val="32"/>
        </w:rPr>
        <w:t>、政策名称或政策依据</w:t>
      </w:r>
    </w:p>
    <w:p>
      <w:pPr>
        <w:pageBreakBefore w:val="0"/>
        <w:kinsoku/>
        <w:wordWrap/>
        <w:overflowPunct/>
        <w:topLinePunct w:val="0"/>
        <w:bidi w:val="0"/>
        <w:spacing w:line="590" w:lineRule="exact"/>
        <w:ind w:firstLine="640" w:firstLineChars="200"/>
        <w:rPr>
          <w:rFonts w:hint="eastAsia" w:ascii="Times New Roman" w:hAnsi="Times New Roman" w:eastAsia="黑体"/>
          <w:sz w:val="32"/>
          <w:szCs w:val="32"/>
        </w:rPr>
      </w:pPr>
      <w:r>
        <w:rPr>
          <w:rFonts w:hint="eastAsia" w:ascii="仿宋_GB2312" w:hAnsi="CESI仿宋-GB2312" w:eastAsia="仿宋_GB2312" w:cs="CESI仿宋-GB2312"/>
          <w:sz w:val="32"/>
          <w:szCs w:val="32"/>
        </w:rPr>
        <w:t>2</w:t>
      </w:r>
      <w:r>
        <w:rPr>
          <w:rFonts w:ascii="仿宋_GB2312" w:hAnsi="CESI仿宋-GB2312" w:eastAsia="仿宋_GB2312" w:cs="CESI仿宋-GB2312"/>
          <w:sz w:val="32"/>
          <w:szCs w:val="32"/>
        </w:rPr>
        <w:t>022</w:t>
      </w:r>
      <w:r>
        <w:rPr>
          <w:rFonts w:hint="eastAsia" w:ascii="仿宋_GB2312" w:hAnsi="CESI仿宋-GB2312" w:eastAsia="仿宋_GB2312" w:cs="CESI仿宋-GB2312"/>
          <w:sz w:val="32"/>
          <w:szCs w:val="32"/>
        </w:rPr>
        <w:t>年3月3</w:t>
      </w:r>
      <w:r>
        <w:rPr>
          <w:rFonts w:ascii="仿宋_GB2312" w:hAnsi="CESI仿宋-GB2312" w:eastAsia="仿宋_GB2312" w:cs="CESI仿宋-GB2312"/>
          <w:sz w:val="32"/>
          <w:szCs w:val="32"/>
        </w:rPr>
        <w:t>1</w:t>
      </w:r>
      <w:r>
        <w:rPr>
          <w:rFonts w:hint="eastAsia" w:ascii="仿宋_GB2312" w:hAnsi="CESI仿宋-GB2312" w:eastAsia="仿宋_GB2312" w:cs="CESI仿宋-GB2312"/>
          <w:sz w:val="32"/>
          <w:szCs w:val="32"/>
        </w:rPr>
        <w:t>日，山东省生态环境厅会同中国人民银行济南分行出台《山东省生态环境厅、中国人民银行济南分行关于印发山东省环保金融项目库管理办法（试行）的通知（鲁环发〔2022〕3号)。</w:t>
      </w:r>
    </w:p>
    <w:p>
      <w:pPr>
        <w:pageBreakBefore w:val="0"/>
        <w:kinsoku/>
        <w:wordWrap/>
        <w:overflowPunct/>
        <w:topLinePunct w:val="0"/>
        <w:bidi w:val="0"/>
        <w:snapToGrid w:val="0"/>
        <w:spacing w:line="590" w:lineRule="exact"/>
        <w:ind w:firstLine="640" w:firstLineChars="200"/>
        <w:rPr>
          <w:rFonts w:hint="eastAsia" w:ascii="黑体" w:hAnsi="黑体" w:eastAsia="黑体" w:cs="黑体"/>
        </w:rPr>
      </w:pPr>
      <w:r>
        <w:rPr>
          <w:rFonts w:hint="eastAsia" w:ascii="Times New Roman" w:hAnsi="Times New Roman" w:eastAsia="黑体"/>
          <w:sz w:val="32"/>
          <w:szCs w:val="32"/>
          <w:lang w:val="en-US" w:eastAsia="zh-CN"/>
        </w:rPr>
        <w:t>三</w:t>
      </w:r>
      <w:r>
        <w:rPr>
          <w:rFonts w:hint="eastAsia" w:ascii="Times New Roman" w:hAnsi="Times New Roman" w:eastAsia="黑体"/>
          <w:sz w:val="32"/>
          <w:szCs w:val="32"/>
        </w:rPr>
        <w:t>、政策措施内容及标准</w:t>
      </w:r>
    </w:p>
    <w:p>
      <w:pPr>
        <w:pageBreakBefore w:val="0"/>
        <w:kinsoku/>
        <w:wordWrap/>
        <w:overflowPunct/>
        <w:topLinePunct w:val="0"/>
        <w:bidi w:val="0"/>
        <w:snapToGrid w:val="0"/>
        <w:spacing w:line="590" w:lineRule="exact"/>
        <w:ind w:firstLine="640" w:firstLineChars="200"/>
        <w:rPr>
          <w:rFonts w:hint="eastAsia" w:ascii="仿宋_GB2312" w:hAnsi="CESI仿宋-GB2312" w:eastAsia="仿宋_GB2312" w:cs="CESI仿宋-GB2312"/>
          <w:sz w:val="32"/>
          <w:szCs w:val="32"/>
        </w:rPr>
      </w:pPr>
      <w:r>
        <w:rPr>
          <w:rFonts w:hint="eastAsia" w:ascii="仿宋_GB2312" w:hAnsi="CESI仿宋-GB2312" w:eastAsia="仿宋_GB2312" w:cs="CESI仿宋-GB2312"/>
          <w:sz w:val="32"/>
          <w:szCs w:val="32"/>
        </w:rPr>
        <w:t>为助力碳达峰碳中和、应对气候变化和支持生态环境改善建立的项目库，入库项目涵盖温室气体排放控制、污染防治、清洁生产、资源回收及综合利用、生态产业和生物多样性保护、环保装备制造、环境服务、生态文明示范建设等领域。山东省环保金融项目库是绿色融资主体贷款授信和享受政策优惠的重要依据，入库项目定期推送金融机构，引导金融机构对入库项目予以重点支持山东省环保金融项目库入库项目分为“优选项目”和 “一般项目”，“优选项目”可享受更加优惠的信贷政策支持。</w:t>
      </w:r>
    </w:p>
    <w:p>
      <w:pPr>
        <w:pageBreakBefore w:val="0"/>
        <w:kinsoku/>
        <w:wordWrap/>
        <w:overflowPunct/>
        <w:topLinePunct w:val="0"/>
        <w:bidi w:val="0"/>
        <w:snapToGrid w:val="0"/>
        <w:spacing w:line="590" w:lineRule="exact"/>
        <w:ind w:firstLine="640" w:firstLineChars="200"/>
        <w:rPr>
          <w:rFonts w:hint="eastAsia" w:ascii="仿宋_GB2312" w:hAnsi="CESI仿宋-GB2312" w:eastAsia="仿宋_GB2312" w:cs="CESI仿宋-GB2312"/>
          <w:sz w:val="32"/>
          <w:szCs w:val="32"/>
        </w:rPr>
      </w:pPr>
      <w:r>
        <w:rPr>
          <w:rFonts w:hint="eastAsia" w:ascii="仿宋_GB2312" w:hAnsi="CESI仿宋-GB2312" w:eastAsia="仿宋_GB2312" w:cs="CESI仿宋-GB2312"/>
          <w:sz w:val="32"/>
          <w:szCs w:val="32"/>
        </w:rPr>
        <w:t>“优选项目”应为对污染防治攻坚任务支撑作用大、环境效益显著的项目，并至少满足以下任一条件：（一）服务于重点区域生态环境保护的项目；（二）有发展潜力的、先进的环保技术、装备、设备、仪器仪表等；（三）具有较强公益属性的项目；（四）其他经认定的项目。</w:t>
      </w:r>
    </w:p>
    <w:p>
      <w:pPr>
        <w:pageBreakBefore w:val="0"/>
        <w:kinsoku/>
        <w:wordWrap/>
        <w:overflowPunct/>
        <w:topLinePunct w:val="0"/>
        <w:bidi w:val="0"/>
        <w:snapToGrid w:val="0"/>
        <w:spacing w:line="590" w:lineRule="exact"/>
        <w:ind w:firstLine="640" w:firstLineChars="200"/>
        <w:rPr>
          <w:rFonts w:hint="eastAsia" w:ascii="Times New Roman" w:hAnsi="Times New Roman" w:eastAsia="黑体"/>
          <w:sz w:val="32"/>
          <w:szCs w:val="32"/>
        </w:rPr>
      </w:pPr>
      <w:r>
        <w:rPr>
          <w:rFonts w:hint="eastAsia" w:ascii="Times New Roman" w:hAnsi="Times New Roman" w:eastAsia="黑体"/>
          <w:sz w:val="32"/>
          <w:szCs w:val="32"/>
          <w:lang w:val="en-US" w:eastAsia="zh-CN"/>
        </w:rPr>
        <w:t>四</w:t>
      </w:r>
      <w:r>
        <w:rPr>
          <w:rFonts w:hint="eastAsia" w:ascii="Times New Roman" w:hAnsi="Times New Roman" w:eastAsia="黑体"/>
          <w:sz w:val="32"/>
          <w:szCs w:val="32"/>
        </w:rPr>
        <w:t>、申报办理流程</w:t>
      </w:r>
    </w:p>
    <w:p>
      <w:pPr>
        <w:pageBreakBefore w:val="0"/>
        <w:kinsoku/>
        <w:wordWrap/>
        <w:overflowPunct/>
        <w:topLinePunct w:val="0"/>
        <w:bidi w:val="0"/>
        <w:adjustRightInd w:val="0"/>
        <w:snapToGrid w:val="0"/>
        <w:spacing w:line="590" w:lineRule="exact"/>
        <w:ind w:firstLine="640" w:firstLineChars="200"/>
        <w:rPr>
          <w:rFonts w:hint="eastAsia" w:ascii="仿宋_GB2312" w:hAnsi="CESI仿宋-GB2312" w:eastAsia="仿宋_GB2312" w:cs="CESI仿宋-GB2312"/>
          <w:sz w:val="32"/>
          <w:szCs w:val="32"/>
        </w:rPr>
      </w:pPr>
      <w:r>
        <w:rPr>
          <w:rFonts w:hint="eastAsia" w:ascii="仿宋_GB2312" w:hAnsi="CESI仿宋-GB2312" w:eastAsia="仿宋_GB2312" w:cs="CESI仿宋-GB2312"/>
          <w:sz w:val="32"/>
          <w:szCs w:val="32"/>
        </w:rPr>
        <w:t>拟申报环保金融项目的承担单位，向项目所在地设区市生态环境部门提交《山东省环保金融项目入库申请书》，由设区市生态环境部门和人民银行部门出具推荐意见。设区市生态环境部门将辖区内项目申报材料汇总后上报管理小组。</w:t>
      </w:r>
    </w:p>
    <w:p>
      <w:pPr>
        <w:pageBreakBefore w:val="0"/>
        <w:kinsoku/>
        <w:wordWrap/>
        <w:overflowPunct/>
        <w:topLinePunct w:val="0"/>
        <w:bidi w:val="0"/>
        <w:adjustRightInd w:val="0"/>
        <w:snapToGrid w:val="0"/>
        <w:spacing w:line="590" w:lineRule="exact"/>
        <w:ind w:firstLine="640" w:firstLineChars="200"/>
        <w:rPr>
          <w:rFonts w:hint="eastAsia" w:ascii="仿宋_GB2312" w:hAnsi="CESI仿宋-GB2312" w:eastAsia="仿宋_GB2312" w:cs="CESI仿宋-GB2312"/>
          <w:sz w:val="32"/>
          <w:szCs w:val="32"/>
        </w:rPr>
      </w:pPr>
      <w:r>
        <w:rPr>
          <w:rFonts w:hint="eastAsia" w:ascii="仿宋_GB2312" w:hAnsi="CESI仿宋-GB2312" w:eastAsia="仿宋_GB2312" w:cs="CESI仿宋-GB2312"/>
          <w:sz w:val="32"/>
          <w:szCs w:val="32"/>
        </w:rPr>
        <w:t>管理小组每季度组织专家开展一次项目入库集中审核，并根据入库申请情况适当加大入库审核频次。拟认定的环保金融项目名单公示5个工作日。对公示期间收到的投诉和举报问题，由管理小组组织专家进行调查核实。管理小组根据公示情况，将通过认定的项目纳入山东省环保金融项目库。</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山东省环保金融项目的有效期为3年，有效期从项目入库之日起算。在有效期满后需继续纳入山东省环保金融项目库的，将根据补充材料重新认定。</w:t>
      </w: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CESI楷体-GB2312" w:hAnsi="CESI楷体-GB2312" w:eastAsia="CESI楷体-GB2312" w:cs="CESI楷体-GB2312"/>
          <w:kern w:val="2"/>
          <w:sz w:val="32"/>
          <w:szCs w:val="32"/>
          <w:highlight w:val="none"/>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CESI仿宋-GB2312" w:eastAsia="仿宋_GB2312" w:cs="CESI仿宋-GB2312"/>
          <w:kern w:val="2"/>
          <w:sz w:val="32"/>
          <w:szCs w:val="32"/>
          <w:highlight w:val="yellow"/>
          <w:lang w:val="en-US" w:eastAsia="zh-CN" w:bidi="ar-SA"/>
        </w:rPr>
      </w:pPr>
      <w:r>
        <w:rPr>
          <w:rFonts w:hint="eastAsia" w:ascii="CESI楷体-GB2312" w:hAnsi="CESI楷体-GB2312" w:eastAsia="CESI楷体-GB2312" w:cs="CESI楷体-GB2312"/>
          <w:kern w:val="2"/>
          <w:sz w:val="32"/>
          <w:szCs w:val="32"/>
          <w:highlight w:val="none"/>
          <w:lang w:val="en-US" w:eastAsia="zh-CN" w:bidi="ar-SA"/>
        </w:rPr>
        <w:t>主办单位：生态环境局综合科   联系电话：8090092</w:t>
      </w:r>
    </w:p>
    <w:p>
      <w:pPr>
        <w:pageBreakBefore w:val="0"/>
        <w:kinsoku/>
        <w:wordWrap/>
        <w:overflowPunct/>
        <w:topLinePunct w:val="0"/>
        <w:bidi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spacing w:val="-16"/>
          <w:sz w:val="36"/>
          <w:szCs w:val="36"/>
          <w:lang w:val="en"/>
        </w:rPr>
      </w:pPr>
    </w:p>
    <w:p>
      <w:pPr>
        <w:pageBreakBefore w:val="0"/>
        <w:kinsoku/>
        <w:wordWrap/>
        <w:overflowPunct/>
        <w:topLinePunct w:val="0"/>
        <w:bidi w:val="0"/>
        <w:spacing w:line="590" w:lineRule="exact"/>
        <w:ind w:left="0" w:leftChars="0" w:firstLine="0" w:firstLineChars="0"/>
        <w:jc w:val="center"/>
        <w:outlineLvl w:val="1"/>
        <w:rPr>
          <w:rFonts w:hint="eastAsia" w:ascii="方正小标宋简体" w:hAnsi="方正小标宋简体" w:eastAsia="方正小标宋简体" w:cs="方正小标宋简体"/>
          <w:b w:val="0"/>
          <w:bCs/>
          <w:spacing w:val="-16"/>
          <w:sz w:val="36"/>
          <w:szCs w:val="36"/>
          <w:lang w:val="en"/>
        </w:rPr>
      </w:pPr>
    </w:p>
    <w:p>
      <w:pPr>
        <w:pageBreakBefore w:val="0"/>
        <w:kinsoku/>
        <w:wordWrap/>
        <w:overflowPunct/>
        <w:topLinePunct w:val="0"/>
        <w:bidi w:val="0"/>
        <w:spacing w:line="590" w:lineRule="exact"/>
        <w:ind w:left="0" w:leftChars="0" w:firstLine="0" w:firstLineChars="0"/>
        <w:jc w:val="center"/>
        <w:outlineLvl w:val="1"/>
        <w:rPr>
          <w:rFonts w:ascii="宋体" w:hAnsi="宋体"/>
          <w:b/>
          <w:bCs/>
          <w:spacing w:val="-16"/>
          <w:sz w:val="32"/>
          <w:szCs w:val="32"/>
          <w:lang w:val="en"/>
        </w:rPr>
      </w:pPr>
      <w:bookmarkStart w:id="59" w:name="_Toc2570"/>
      <w:r>
        <w:rPr>
          <w:rFonts w:hint="eastAsia" w:ascii="方正小标宋简体" w:hAnsi="方正小标宋简体" w:eastAsia="方正小标宋简体" w:cs="方正小标宋简体"/>
          <w:b w:val="0"/>
          <w:bCs/>
          <w:spacing w:val="-16"/>
          <w:sz w:val="36"/>
          <w:szCs w:val="36"/>
          <w:lang w:val="en"/>
        </w:rPr>
        <w:t>信贷支持县城城镇化补短板强弱项政策</w:t>
      </w:r>
      <w:bookmarkEnd w:id="59"/>
    </w:p>
    <w:p>
      <w:pPr>
        <w:pStyle w:val="2"/>
        <w:pageBreakBefore w:val="0"/>
        <w:kinsoku/>
        <w:wordWrap/>
        <w:overflowPunct/>
        <w:topLinePunct w:val="0"/>
        <w:bidi w:val="0"/>
        <w:spacing w:line="590" w:lineRule="exact"/>
        <w:ind w:firstLine="640" w:firstLineChars="200"/>
        <w:rPr>
          <w:rFonts w:hint="eastAsia" w:ascii="Times New Roman" w:hAnsi="黑体" w:eastAsia="黑体"/>
          <w:sz w:val="32"/>
          <w:szCs w:val="32"/>
        </w:rPr>
      </w:pPr>
    </w:p>
    <w:p>
      <w:pPr>
        <w:pStyle w:val="2"/>
        <w:pageBreakBefore w:val="0"/>
        <w:kinsoku/>
        <w:wordWrap/>
        <w:overflowPunct/>
        <w:topLinePunct w:val="0"/>
        <w:bidi w:val="0"/>
        <w:spacing w:line="590" w:lineRule="exact"/>
        <w:ind w:firstLine="640" w:firstLineChars="200"/>
        <w:rPr>
          <w:rFonts w:ascii="Times New Roman" w:hAnsi="Times New Roman" w:eastAsia="黑体"/>
          <w:sz w:val="32"/>
          <w:szCs w:val="32"/>
        </w:rPr>
      </w:pPr>
      <w:r>
        <w:rPr>
          <w:rFonts w:hint="eastAsia" w:ascii="Times New Roman" w:hAnsi="黑体" w:eastAsia="黑体"/>
          <w:sz w:val="32"/>
          <w:szCs w:val="32"/>
        </w:rPr>
        <w:t>一、服务对象和范围</w:t>
      </w:r>
    </w:p>
    <w:p>
      <w:pPr>
        <w:pStyle w:val="2"/>
        <w:pageBreakBefore w:val="0"/>
        <w:kinsoku/>
        <w:wordWrap/>
        <w:overflowPunct/>
        <w:topLinePunct w:val="0"/>
        <w:bidi w:val="0"/>
        <w:spacing w:line="590" w:lineRule="exact"/>
        <w:ind w:firstLine="640" w:firstLineChars="200"/>
        <w:rPr>
          <w:rFonts w:hint="eastAsia" w:ascii="仿宋_GB2312" w:hAnsi="CESI仿宋-GB2312" w:eastAsia="仿宋_GB2312" w:cs="CESI仿宋-GB2312"/>
          <w:kern w:val="2"/>
          <w:sz w:val="32"/>
          <w:szCs w:val="32"/>
          <w:lang w:val="en-US" w:eastAsia="zh-CN" w:bidi="ar-SA"/>
        </w:rPr>
      </w:pPr>
      <w:r>
        <w:rPr>
          <w:rStyle w:val="24"/>
          <w:rFonts w:hint="eastAsia" w:ascii="Times New Roman" w:eastAsia="楷体_GB2312"/>
          <w:b w:val="0"/>
          <w:bCs/>
          <w:sz w:val="32"/>
          <w:szCs w:val="32"/>
        </w:rPr>
        <w:t>（一）</w:t>
      </w:r>
      <w:r>
        <w:rPr>
          <w:rFonts w:hint="eastAsia" w:ascii="Times New Roman" w:hAnsi="Times New Roman" w:eastAsia="楷体_GB2312"/>
          <w:b w:val="0"/>
          <w:bCs/>
          <w:sz w:val="32"/>
          <w:szCs w:val="32"/>
        </w:rPr>
        <w:t>服务对象。</w:t>
      </w:r>
      <w:r>
        <w:rPr>
          <w:rFonts w:hint="eastAsia" w:ascii="仿宋_GB2312" w:hAnsi="CESI仿宋-GB2312" w:eastAsia="仿宋_GB2312" w:cs="CESI仿宋-GB2312"/>
          <w:kern w:val="2"/>
          <w:sz w:val="32"/>
          <w:szCs w:val="32"/>
          <w:lang w:val="en-US" w:eastAsia="zh-CN" w:bidi="ar-SA"/>
        </w:rPr>
        <w:t>聚焦县城及县级市城区，特别是我省入选国家县城新型城镇化建设示范名单的10个县（市），兼顾镇区常住人口10万以上的非县级政府驻地特大镇、2015年以来“县改区”“市改区”形成的设区市辖区，重点对以下领域建设项目提供信贷支持。</w:t>
      </w:r>
    </w:p>
    <w:p>
      <w:pPr>
        <w:pageBreakBefore w:val="0"/>
        <w:kinsoku/>
        <w:wordWrap/>
        <w:overflowPunct/>
        <w:topLinePunct w:val="0"/>
        <w:bidi w:val="0"/>
        <w:spacing w:line="590" w:lineRule="exact"/>
        <w:ind w:firstLine="643" w:firstLineChars="200"/>
        <w:rPr>
          <w:rFonts w:ascii="Times New Roman" w:hAnsi="Times New Roman" w:eastAsia="仿宋_GB2312"/>
          <w:sz w:val="32"/>
          <w:szCs w:val="32"/>
        </w:rPr>
      </w:pPr>
      <w:r>
        <w:rPr>
          <w:rFonts w:hint="eastAsia" w:ascii="仿宋_GB2312" w:hAnsi="Times New Roman" w:eastAsia="仿宋_GB2312"/>
          <w:b/>
          <w:sz w:val="32"/>
          <w:szCs w:val="32"/>
        </w:rPr>
        <w:t>1.</w:t>
      </w:r>
      <w:r>
        <w:rPr>
          <w:rStyle w:val="24"/>
          <w:rFonts w:hint="eastAsia" w:ascii="仿宋_GB2312" w:eastAsia="仿宋_GB2312"/>
          <w:sz w:val="32"/>
          <w:szCs w:val="32"/>
        </w:rPr>
        <w:t>县城产业平台公共配套设施。</w:t>
      </w:r>
      <w:r>
        <w:rPr>
          <w:rFonts w:hint="eastAsia" w:ascii="Times New Roman" w:hAnsi="Times New Roman" w:eastAsia="仿宋_GB2312"/>
          <w:sz w:val="32"/>
          <w:szCs w:val="32"/>
        </w:rPr>
        <w:t>支持区位布局合理、要素集聚度高的产业平台（主要是开发区审核公告目录内的产业园区、省级特色小镇）公共配套设施建设项目，包括但不限于建设智能标准生产设施、技术研发转化设施、检验检测认证设施、职业技能培训设施、仓储集散回收设施和文化旅游体育设施等。支持产业转型升级示范区内重点园区、县城产业转型升级示范园区公共配套设施建设项目。</w:t>
      </w:r>
    </w:p>
    <w:p>
      <w:pPr>
        <w:pageBreakBefore w:val="0"/>
        <w:kinsoku/>
        <w:wordWrap/>
        <w:overflowPunct/>
        <w:topLinePunct w:val="0"/>
        <w:bidi w:val="0"/>
        <w:spacing w:line="590" w:lineRule="exact"/>
        <w:ind w:firstLine="630" w:firstLineChars="196"/>
        <w:rPr>
          <w:rFonts w:ascii="Times New Roman" w:hAnsi="Times New Roman" w:eastAsia="仿宋_GB2312"/>
          <w:sz w:val="32"/>
          <w:szCs w:val="32"/>
        </w:rPr>
      </w:pPr>
      <w:r>
        <w:rPr>
          <w:rStyle w:val="24"/>
          <w:rFonts w:hint="eastAsia" w:ascii="仿宋_GB2312" w:eastAsia="仿宋_GB2312"/>
          <w:sz w:val="32"/>
          <w:szCs w:val="32"/>
        </w:rPr>
        <w:t>2.县城新型基础设施。</w:t>
      </w:r>
      <w:r>
        <w:rPr>
          <w:rFonts w:hint="eastAsia" w:ascii="Times New Roman" w:hAnsi="Times New Roman" w:eastAsia="仿宋_GB2312"/>
          <w:sz w:val="32"/>
          <w:szCs w:val="32"/>
        </w:rPr>
        <w:t>支持新一代信息基础设施建设项目，包括建设</w:t>
      </w:r>
      <w:r>
        <w:rPr>
          <w:rFonts w:ascii="Times New Roman" w:hAnsi="Times New Roman" w:eastAsia="仿宋_GB2312"/>
          <w:sz w:val="32"/>
          <w:szCs w:val="32"/>
        </w:rPr>
        <w:t>5G</w:t>
      </w:r>
      <w:r>
        <w:rPr>
          <w:rFonts w:hint="eastAsia" w:ascii="Times New Roman" w:hAnsi="Times New Roman" w:eastAsia="仿宋_GB2312"/>
          <w:sz w:val="32"/>
          <w:szCs w:val="32"/>
        </w:rPr>
        <w:t>网络、物联网、车联网和骨干网扩容等。支持市政公用设施数字化改造项目，包括改造交通、公安和水电气热等领域终端系统等。支持大数据设施建设项目，包括建设集约化数据中心、供应链数字化平台和产业数字化平台等。支持网络安全防护体系建设项目。</w:t>
      </w:r>
    </w:p>
    <w:p>
      <w:pPr>
        <w:pageBreakBefore w:val="0"/>
        <w:kinsoku/>
        <w:wordWrap/>
        <w:overflowPunct/>
        <w:topLinePunct w:val="0"/>
        <w:bidi w:val="0"/>
        <w:spacing w:line="590" w:lineRule="exact"/>
        <w:ind w:firstLine="640"/>
        <w:rPr>
          <w:rFonts w:ascii="Times New Roman" w:hAnsi="Times New Roman" w:eastAsia="仿宋_GB2312"/>
          <w:sz w:val="32"/>
          <w:szCs w:val="32"/>
        </w:rPr>
      </w:pPr>
      <w:r>
        <w:rPr>
          <w:rStyle w:val="24"/>
          <w:rFonts w:eastAsia="仿宋_GB2312"/>
          <w:sz w:val="32"/>
          <w:szCs w:val="32"/>
        </w:rPr>
        <w:t>3.</w:t>
      </w:r>
      <w:r>
        <w:rPr>
          <w:rStyle w:val="24"/>
          <w:rFonts w:hint="eastAsia" w:ascii="Times New Roman" w:eastAsia="仿宋_GB2312"/>
          <w:sz w:val="32"/>
          <w:szCs w:val="32"/>
        </w:rPr>
        <w:t>县城其他基础设施。</w:t>
      </w:r>
      <w:r>
        <w:rPr>
          <w:rFonts w:hint="eastAsia" w:ascii="Times New Roman" w:hAnsi="Times New Roman" w:eastAsia="仿宋_GB2312"/>
          <w:sz w:val="32"/>
          <w:szCs w:val="32"/>
        </w:rPr>
        <w:t>支持环境卫生设施建设项目，包括建设垃圾无害化资源化处理设施和污水集中处理设施等。支持市政公用设施建设项目，包括改造建设公共停车场和公路客运站等交通设施、水气热等管网设施以及改造老旧小区。支持商贸流通设施建设项目，包括改造建设配送投递设施、冷链物流设施和农贸市场等。支持商业步行街和特色街区等消费集聚区公共配套设施建设项目，以及游客集散中心、体育公园等。</w:t>
      </w:r>
    </w:p>
    <w:p>
      <w:pPr>
        <w:pageBreakBefore w:val="0"/>
        <w:kinsoku/>
        <w:wordWrap/>
        <w:overflowPunct/>
        <w:topLinePunct w:val="0"/>
        <w:bidi w:val="0"/>
        <w:spacing w:line="590" w:lineRule="exact"/>
        <w:ind w:firstLine="640"/>
        <w:rPr>
          <w:rStyle w:val="24"/>
          <w:rFonts w:eastAsia="楷体_GB2312"/>
          <w:b w:val="0"/>
        </w:rPr>
      </w:pPr>
      <w:r>
        <w:rPr>
          <w:rStyle w:val="24"/>
          <w:rFonts w:hint="eastAsia" w:ascii="Times New Roman" w:eastAsia="楷体_GB2312"/>
          <w:b w:val="0"/>
          <w:sz w:val="32"/>
          <w:szCs w:val="32"/>
        </w:rPr>
        <w:t>（二）信贷条件。</w:t>
      </w:r>
    </w:p>
    <w:p>
      <w:pPr>
        <w:pageBreakBefore w:val="0"/>
        <w:kinsoku/>
        <w:wordWrap/>
        <w:overflowPunct/>
        <w:topLinePunct w:val="0"/>
        <w:bidi w:val="0"/>
        <w:spacing w:line="590" w:lineRule="exact"/>
        <w:ind w:firstLine="640"/>
        <w:rPr>
          <w:rFonts w:ascii="Times New Roman" w:hAnsi="Times New Roman" w:eastAsia="仿宋_GB2312"/>
        </w:rPr>
      </w:pPr>
      <w:r>
        <w:rPr>
          <w:rFonts w:hint="eastAsia" w:ascii="仿宋_GB2312" w:hAnsi="Times New Roman" w:eastAsia="仿宋_GB2312"/>
          <w:b/>
          <w:sz w:val="32"/>
          <w:szCs w:val="32"/>
        </w:rPr>
        <w:t>1.</w:t>
      </w:r>
      <w:r>
        <w:rPr>
          <w:rStyle w:val="24"/>
          <w:rFonts w:hint="eastAsia" w:ascii="仿宋_GB2312" w:eastAsia="仿宋_GB2312"/>
          <w:sz w:val="32"/>
          <w:szCs w:val="32"/>
        </w:rPr>
        <w:t>建设项目条件。</w:t>
      </w:r>
      <w:r>
        <w:rPr>
          <w:rFonts w:hint="eastAsia" w:ascii="Times New Roman" w:hAnsi="Times New Roman" w:eastAsia="仿宋_GB2312"/>
          <w:sz w:val="32"/>
          <w:szCs w:val="32"/>
        </w:rPr>
        <w:t>项目符合县城城镇化补短板强弱项的政策导向，依规履行固定资产投资项目审批（核准、备案）、用地、环评等前期工作。项目具有稳定的经营性现金流或其他可靠的偿债资金来源，未来经营收入或借款人其他收入可覆盖贷款本息。项目资本金不低于国家规定的最低比例标准，资本金来源符合国家有关规定，并同比例或先于贷款到位。项目符合所申请贷款银行的其他贷款条件。</w:t>
      </w:r>
    </w:p>
    <w:p>
      <w:pPr>
        <w:pageBreakBefore w:val="0"/>
        <w:kinsoku/>
        <w:wordWrap/>
        <w:overflowPunct/>
        <w:topLinePunct w:val="0"/>
        <w:bidi w:val="0"/>
        <w:spacing w:line="590" w:lineRule="exact"/>
        <w:ind w:firstLine="630" w:firstLineChars="196"/>
        <w:jc w:val="left"/>
        <w:rPr>
          <w:rFonts w:ascii="Times New Roman" w:hAnsi="Times New Roman" w:eastAsia="仿宋_GB2312"/>
          <w:sz w:val="32"/>
          <w:szCs w:val="32"/>
        </w:rPr>
      </w:pPr>
      <w:r>
        <w:rPr>
          <w:rFonts w:hint="eastAsia" w:ascii="仿宋_GB2312" w:hAnsi="Times New Roman" w:eastAsia="仿宋_GB2312"/>
          <w:b/>
          <w:sz w:val="32"/>
          <w:szCs w:val="32"/>
        </w:rPr>
        <w:t>2.</w:t>
      </w:r>
      <w:r>
        <w:rPr>
          <w:rStyle w:val="24"/>
          <w:rFonts w:hint="eastAsia" w:ascii="仿宋_GB2312" w:eastAsia="仿宋_GB2312"/>
          <w:sz w:val="32"/>
          <w:szCs w:val="32"/>
        </w:rPr>
        <w:t>借款人条件。</w:t>
      </w:r>
      <w:r>
        <w:rPr>
          <w:rFonts w:hint="eastAsia" w:ascii="Times New Roman" w:hAnsi="Times New Roman" w:eastAsia="仿宋_GB2312"/>
          <w:sz w:val="32"/>
          <w:szCs w:val="32"/>
        </w:rPr>
        <w:t>借款人为经市场监管部门核准登记、实行独立核算的企业法人，经事业单位登记管理机关核准登记的公益二类或经营类事业法人，以及国家规定可作为借款人的其他经济组织。借款人具有承担新型城镇化建设项目投资运营的相关资质和能力，具备财务可持续能力，具有良好信用状况。借款人符合所申请贷款银行的其他准入条件。</w:t>
      </w:r>
    </w:p>
    <w:p>
      <w:pPr>
        <w:pageBreakBefore w:val="0"/>
        <w:kinsoku/>
        <w:wordWrap/>
        <w:overflowPunct/>
        <w:topLinePunct w:val="0"/>
        <w:bidi w:val="0"/>
        <w:spacing w:line="59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二、政策名称或政策依据</w:t>
      </w:r>
    </w:p>
    <w:p>
      <w:pPr>
        <w:pStyle w:val="2"/>
        <w:pageBreakBefore w:val="0"/>
        <w:kinsoku/>
        <w:wordWrap/>
        <w:overflowPunct/>
        <w:topLinePunct w:val="0"/>
        <w:bidi w:val="0"/>
        <w:spacing w:line="590" w:lineRule="exact"/>
        <w:ind w:left="0" w:leftChars="0" w:firstLine="640" w:firstLineChars="200"/>
        <w:rPr>
          <w:rFonts w:ascii="Times New Roman" w:hAnsi="Times New Roman" w:eastAsia="仿宋_GB2312"/>
          <w:sz w:val="32"/>
          <w:szCs w:val="32"/>
        </w:rPr>
      </w:pPr>
      <w:r>
        <w:rPr>
          <w:rFonts w:ascii="Times New Roman" w:hAnsi="Times New Roman" w:eastAsia="仿宋_GB2312"/>
          <w:sz w:val="32"/>
          <w:szCs w:val="32"/>
        </w:rPr>
        <w:t>2020</w:t>
      </w:r>
      <w:r>
        <w:rPr>
          <w:rFonts w:hint="eastAsia" w:ascii="Times New Roman" w:hAnsi="Times New Roman" w:eastAsia="仿宋_GB2312"/>
          <w:sz w:val="32"/>
          <w:szCs w:val="32"/>
        </w:rPr>
        <w:t>年</w:t>
      </w:r>
      <w:r>
        <w:rPr>
          <w:rFonts w:ascii="Times New Roman" w:hAnsi="Times New Roman" w:eastAsia="仿宋_GB2312"/>
          <w:sz w:val="32"/>
          <w:szCs w:val="32"/>
        </w:rPr>
        <w:t>9</w:t>
      </w:r>
      <w:r>
        <w:rPr>
          <w:rFonts w:hint="eastAsia" w:ascii="Times New Roman" w:hAnsi="Times New Roman" w:eastAsia="仿宋_GB2312"/>
          <w:sz w:val="32"/>
          <w:szCs w:val="32"/>
        </w:rPr>
        <w:t>月</w:t>
      </w:r>
      <w:r>
        <w:rPr>
          <w:rFonts w:ascii="Times New Roman" w:hAnsi="Times New Roman" w:eastAsia="仿宋_GB2312"/>
          <w:sz w:val="32"/>
          <w:szCs w:val="32"/>
        </w:rPr>
        <w:t>15</w:t>
      </w:r>
      <w:r>
        <w:rPr>
          <w:rFonts w:hint="eastAsia" w:ascii="Times New Roman" w:hAnsi="Times New Roman" w:eastAsia="仿宋_GB2312"/>
          <w:sz w:val="32"/>
          <w:szCs w:val="32"/>
        </w:rPr>
        <w:t>日，山东省发展和改革委员会会同国家开发银行山东省分行、中国农业发展银行山东省分行、中国工商银行山东省分行、中国农业银行山东省分行、中国银行山东省分行、中国建设银行山东省分行、中国光大银行济南分行、中国光大银行烟台分行等部门出台了《关于</w:t>
      </w:r>
      <w:r>
        <w:rPr>
          <w:rFonts w:hint="eastAsia" w:ascii="Times New Roman" w:hAnsi="Times New Roman" w:eastAsia="仿宋_GB2312"/>
          <w:sz w:val="32"/>
          <w:szCs w:val="32"/>
          <w:lang w:val="en"/>
        </w:rPr>
        <w:t>信贷支持县城城镇化补短板强弱项的通知</w:t>
      </w:r>
      <w:r>
        <w:rPr>
          <w:rFonts w:hint="eastAsia" w:ascii="Times New Roman" w:hAnsi="Times New Roman" w:eastAsia="仿宋_GB2312"/>
          <w:sz w:val="32"/>
          <w:szCs w:val="32"/>
        </w:rPr>
        <w:t>》（鲁发改规划〔</w:t>
      </w:r>
      <w:r>
        <w:rPr>
          <w:rFonts w:ascii="Times New Roman" w:hAnsi="Times New Roman" w:eastAsia="仿宋_GB2312"/>
          <w:sz w:val="32"/>
          <w:szCs w:val="32"/>
        </w:rPr>
        <w:t>2020</w:t>
      </w:r>
      <w:r>
        <w:rPr>
          <w:rFonts w:hint="eastAsia" w:ascii="Times New Roman" w:hAnsi="Times New Roman" w:eastAsia="仿宋_GB2312"/>
          <w:sz w:val="32"/>
          <w:szCs w:val="32"/>
        </w:rPr>
        <w:t>〕</w:t>
      </w:r>
      <w:r>
        <w:rPr>
          <w:rFonts w:ascii="Times New Roman" w:hAnsi="Times New Roman" w:eastAsia="仿宋_GB2312"/>
          <w:sz w:val="32"/>
          <w:szCs w:val="32"/>
        </w:rPr>
        <w:t>1143</w:t>
      </w:r>
      <w:r>
        <w:rPr>
          <w:rFonts w:hint="eastAsia" w:ascii="Times New Roman" w:hAnsi="Times New Roman" w:eastAsia="仿宋_GB2312"/>
          <w:sz w:val="32"/>
          <w:szCs w:val="32"/>
        </w:rPr>
        <w:t>号）。</w:t>
      </w:r>
    </w:p>
    <w:p>
      <w:pPr>
        <w:pStyle w:val="2"/>
        <w:pageBreakBefore w:val="0"/>
        <w:kinsoku/>
        <w:wordWrap/>
        <w:overflowPunct/>
        <w:topLinePunct w:val="0"/>
        <w:bidi w:val="0"/>
        <w:spacing w:line="59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三、政策措施内容及标准</w:t>
      </w:r>
    </w:p>
    <w:p>
      <w:pPr>
        <w:pStyle w:val="2"/>
        <w:pageBreakBefore w:val="0"/>
        <w:kinsoku/>
        <w:wordWrap/>
        <w:overflowPunct/>
        <w:topLinePunct w:val="0"/>
        <w:bidi w:val="0"/>
        <w:spacing w:line="590" w:lineRule="exact"/>
        <w:ind w:firstLine="640" w:firstLineChars="200"/>
        <w:rPr>
          <w:rFonts w:ascii="Times New Roman" w:hAnsi="Times New Roman" w:eastAsia="仿宋_GB2312"/>
          <w:sz w:val="32"/>
          <w:szCs w:val="32"/>
        </w:rPr>
      </w:pPr>
      <w:r>
        <w:rPr>
          <w:rFonts w:hint="eastAsia" w:ascii="Times New Roman" w:hAnsi="Times New Roman" w:eastAsia="楷体_GB2312"/>
          <w:bCs/>
          <w:sz w:val="32"/>
          <w:szCs w:val="32"/>
        </w:rPr>
        <w:t>（一）安排专项信贷额度。</w:t>
      </w:r>
      <w:r>
        <w:rPr>
          <w:rFonts w:ascii="Times New Roman" w:hAnsi="Times New Roman" w:eastAsia="仿宋_GB2312"/>
          <w:sz w:val="32"/>
          <w:szCs w:val="32"/>
        </w:rPr>
        <w:t>8</w:t>
      </w:r>
      <w:r>
        <w:rPr>
          <w:rFonts w:hint="eastAsia" w:ascii="Times New Roman" w:hAnsi="Times New Roman" w:eastAsia="仿宋_GB2312"/>
          <w:sz w:val="32"/>
          <w:szCs w:val="32"/>
        </w:rPr>
        <w:t>家银行原则上每年分别安排一定规模的信贷额度，专项用于支持县城城镇化补短板强弱项项目。制定专项信贷支持细则，细化提出目标任务、信贷条件、信贷政策和组织实施方式。适时研究优化绩效考核评价体系，对支持县城城镇化补短板强弱项项目较多的分行给予奖励。</w:t>
      </w:r>
    </w:p>
    <w:p>
      <w:pPr>
        <w:pStyle w:val="2"/>
        <w:pageBreakBefore w:val="0"/>
        <w:kinsoku/>
        <w:wordWrap/>
        <w:overflowPunct/>
        <w:topLinePunct w:val="0"/>
        <w:bidi w:val="0"/>
        <w:spacing w:line="590" w:lineRule="exact"/>
        <w:ind w:firstLine="640" w:firstLineChars="200"/>
        <w:rPr>
          <w:rFonts w:ascii="Times New Roman" w:hAnsi="Times New Roman" w:eastAsia="仿宋_GB2312"/>
          <w:sz w:val="32"/>
          <w:szCs w:val="32"/>
        </w:rPr>
      </w:pPr>
      <w:r>
        <w:rPr>
          <w:rFonts w:hint="eastAsia" w:ascii="Times New Roman" w:hAnsi="Times New Roman" w:eastAsia="楷体_GB2312"/>
          <w:bCs/>
          <w:sz w:val="32"/>
          <w:szCs w:val="32"/>
        </w:rPr>
        <w:t>（二）实行优惠信贷政策。</w:t>
      </w:r>
      <w:r>
        <w:rPr>
          <w:rFonts w:ascii="Times New Roman" w:hAnsi="Times New Roman" w:eastAsia="仿宋_GB2312"/>
          <w:sz w:val="32"/>
          <w:szCs w:val="32"/>
        </w:rPr>
        <w:t>8</w:t>
      </w:r>
      <w:r>
        <w:rPr>
          <w:rFonts w:hint="eastAsia" w:ascii="Times New Roman" w:hAnsi="Times New Roman" w:eastAsia="仿宋_GB2312"/>
          <w:sz w:val="32"/>
          <w:szCs w:val="32"/>
        </w:rPr>
        <w:t>家银行参考贷款市场报价利率（</w:t>
      </w:r>
      <w:r>
        <w:rPr>
          <w:rFonts w:ascii="Times New Roman" w:hAnsi="Times New Roman" w:eastAsia="仿宋_GB2312"/>
          <w:sz w:val="32"/>
          <w:szCs w:val="32"/>
        </w:rPr>
        <w:t>LPR</w:t>
      </w:r>
      <w:r>
        <w:rPr>
          <w:rFonts w:hint="eastAsia" w:ascii="Times New Roman" w:hAnsi="Times New Roman" w:eastAsia="仿宋_GB2312"/>
          <w:sz w:val="32"/>
          <w:szCs w:val="32"/>
        </w:rPr>
        <w:t>），对县城城镇化补短板强弱项项目贷款执行优惠利率。按照项目实际需要，给予原则上不超过</w:t>
      </w:r>
      <w:r>
        <w:rPr>
          <w:rFonts w:ascii="Times New Roman" w:hAnsi="Times New Roman" w:eastAsia="仿宋_GB2312"/>
          <w:sz w:val="32"/>
          <w:szCs w:val="32"/>
        </w:rPr>
        <w:t>20</w:t>
      </w:r>
      <w:r>
        <w:rPr>
          <w:rFonts w:hint="eastAsia" w:ascii="Times New Roman" w:hAnsi="Times New Roman" w:eastAsia="仿宋_GB2312"/>
          <w:sz w:val="32"/>
          <w:szCs w:val="32"/>
        </w:rPr>
        <w:t>年的中长期贷款。综合运用借款人不动产抵押、动产质押以及在建项目资产抵押、收费权质押等担保方式。开辟绿色办贷通道，优先开展尽职调查、优先进行审查审批、优先安排贷款投放。对借款人综合实力较强、贷款需求较大、投资回报周期较长的项目，发挥银行业务互促、优势互补的效用，通过银团贷款方式予以协同支持。</w:t>
      </w:r>
    </w:p>
    <w:p>
      <w:pPr>
        <w:pStyle w:val="2"/>
        <w:pageBreakBefore w:val="0"/>
        <w:kinsoku/>
        <w:wordWrap/>
        <w:overflowPunct/>
        <w:topLinePunct w:val="0"/>
        <w:bidi w:val="0"/>
        <w:spacing w:line="590" w:lineRule="exact"/>
        <w:ind w:firstLine="640" w:firstLineChars="200"/>
        <w:rPr>
          <w:rFonts w:ascii="Times New Roman" w:hAnsi="Times New Roman" w:eastAsia="仿宋_GB2312"/>
          <w:sz w:val="32"/>
          <w:szCs w:val="32"/>
        </w:rPr>
      </w:pPr>
      <w:r>
        <w:rPr>
          <w:rFonts w:hint="eastAsia" w:ascii="Times New Roman" w:hAnsi="Times New Roman" w:eastAsia="楷体_GB2312"/>
          <w:bCs/>
          <w:sz w:val="32"/>
          <w:szCs w:val="32"/>
        </w:rPr>
        <w:t>（三）加强财政性资金支持。</w:t>
      </w:r>
      <w:r>
        <w:rPr>
          <w:rFonts w:hint="eastAsia" w:ascii="Times New Roman" w:hAnsi="Times New Roman" w:eastAsia="仿宋_GB2312"/>
          <w:sz w:val="32"/>
          <w:szCs w:val="32"/>
        </w:rPr>
        <w:t>对符合条件的项目，可通过直接投资、资本金注入、投资补助、贷款贴息等方式，优先安排财政性资金或地方政府专项债券，以促进项目的经营性现金流与贷款条件相匹配。有条件的市县可成立政策性风险补偿基金或担保公司，为借款人融资提供增信服务。</w:t>
      </w:r>
    </w:p>
    <w:p>
      <w:pPr>
        <w:pStyle w:val="2"/>
        <w:pageBreakBefore w:val="0"/>
        <w:kinsoku/>
        <w:wordWrap/>
        <w:overflowPunct/>
        <w:topLinePunct w:val="0"/>
        <w:bidi w:val="0"/>
        <w:spacing w:line="59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四、申报办理流程</w:t>
      </w:r>
    </w:p>
    <w:p>
      <w:pPr>
        <w:pStyle w:val="2"/>
        <w:pageBreakBefore w:val="0"/>
        <w:kinsoku/>
        <w:wordWrap/>
        <w:overflowPunct/>
        <w:topLinePunct w:val="0"/>
        <w:bidi w:val="0"/>
        <w:spacing w:line="590" w:lineRule="exact"/>
        <w:ind w:firstLine="640"/>
        <w:rPr>
          <w:rFonts w:ascii="Times New Roman" w:hAnsi="Times New Roman" w:eastAsia="仿宋_GB2312"/>
          <w:sz w:val="32"/>
          <w:szCs w:val="32"/>
        </w:rPr>
      </w:pPr>
      <w:r>
        <w:rPr>
          <w:rFonts w:hint="eastAsia" w:ascii="Times New Roman" w:hAnsi="Times New Roman" w:eastAsia="楷体_GB2312"/>
          <w:sz w:val="32"/>
          <w:szCs w:val="32"/>
        </w:rPr>
        <w:t>（一）申报主体。</w:t>
      </w:r>
      <w:r>
        <w:rPr>
          <w:rFonts w:hint="eastAsia" w:ascii="Times New Roman" w:hAnsi="Times New Roman" w:eastAsia="仿宋_GB2312"/>
          <w:sz w:val="32"/>
          <w:szCs w:val="32"/>
        </w:rPr>
        <w:t>按照项目属地原则，由市发展改革委为申报主体，统筹各县区发展改革部门，组织项目单位填写《</w:t>
      </w:r>
      <w:r>
        <w:rPr>
          <w:rFonts w:hint="eastAsia" w:ascii="Times New Roman" w:hAnsi="Times New Roman" w:eastAsia="仿宋_GB2312"/>
          <w:sz w:val="32"/>
          <w:szCs w:val="32"/>
          <w:lang w:val="en"/>
        </w:rPr>
        <w:t>信贷支持县城城镇化补短板强弱项项目汇总表</w:t>
      </w:r>
      <w:r>
        <w:rPr>
          <w:rFonts w:hint="eastAsia" w:ascii="Times New Roman" w:hAnsi="Times New Roman" w:eastAsia="仿宋_GB2312"/>
          <w:sz w:val="32"/>
          <w:szCs w:val="32"/>
        </w:rPr>
        <w:t>》，审核把关后报送省发展改革委。</w:t>
      </w:r>
    </w:p>
    <w:p>
      <w:pPr>
        <w:pStyle w:val="2"/>
        <w:pageBreakBefore w:val="0"/>
        <w:kinsoku/>
        <w:wordWrap/>
        <w:overflowPunct/>
        <w:topLinePunct w:val="0"/>
        <w:bidi w:val="0"/>
        <w:spacing w:line="590" w:lineRule="exact"/>
        <w:ind w:firstLine="640"/>
        <w:rPr>
          <w:rFonts w:ascii="Times New Roman" w:hAnsi="Times New Roman" w:eastAsia="仿宋_GB2312"/>
          <w:sz w:val="32"/>
          <w:szCs w:val="32"/>
        </w:rPr>
      </w:pPr>
      <w:r>
        <w:rPr>
          <w:rFonts w:hint="eastAsia" w:ascii="Times New Roman" w:hAnsi="Times New Roman" w:eastAsia="楷体_GB2312"/>
          <w:sz w:val="32"/>
          <w:szCs w:val="32"/>
        </w:rPr>
        <w:t>（二）报送时间。</w:t>
      </w:r>
      <w:r>
        <w:rPr>
          <w:rFonts w:hint="eastAsia" w:ascii="Times New Roman" w:hAnsi="Times New Roman" w:eastAsia="仿宋_GB2312"/>
          <w:sz w:val="32"/>
          <w:szCs w:val="32"/>
        </w:rPr>
        <w:t>根据工作需要和信贷要求，原则上每季度末前</w:t>
      </w:r>
      <w:r>
        <w:rPr>
          <w:rFonts w:ascii="Times New Roman" w:hAnsi="Times New Roman" w:eastAsia="仿宋_GB2312"/>
          <w:sz w:val="32"/>
          <w:szCs w:val="32"/>
        </w:rPr>
        <w:t>20</w:t>
      </w:r>
      <w:r>
        <w:rPr>
          <w:rFonts w:hint="eastAsia" w:ascii="Times New Roman" w:hAnsi="Times New Roman" w:eastAsia="仿宋_GB2312"/>
          <w:sz w:val="32"/>
          <w:szCs w:val="32"/>
        </w:rPr>
        <w:t>个工作日组织开展一次申报工作。</w:t>
      </w:r>
    </w:p>
    <w:p>
      <w:pPr>
        <w:pStyle w:val="2"/>
        <w:pageBreakBefore w:val="0"/>
        <w:kinsoku/>
        <w:wordWrap/>
        <w:overflowPunct/>
        <w:topLinePunct w:val="0"/>
        <w:bidi w:val="0"/>
        <w:spacing w:line="590" w:lineRule="exact"/>
        <w:ind w:firstLine="643" w:firstLineChars="200"/>
        <w:rPr>
          <w:rFonts w:hint="eastAsia" w:ascii="Times New Roman" w:hAnsi="Times New Roman" w:eastAsia="仿宋_GB2312"/>
          <w:b/>
          <w:sz w:val="32"/>
          <w:szCs w:val="32"/>
        </w:rPr>
      </w:pPr>
    </w:p>
    <w:p>
      <w:pPr>
        <w:pStyle w:val="2"/>
        <w:pageBreakBefore w:val="0"/>
        <w:kinsoku/>
        <w:wordWrap/>
        <w:overflowPunct/>
        <w:topLinePunct w:val="0"/>
        <w:bidi w:val="0"/>
        <w:spacing w:line="590" w:lineRule="exact"/>
        <w:ind w:firstLine="640" w:firstLineChars="200"/>
        <w:rPr>
          <w:rFonts w:hint="eastAsia" w:ascii="CESI楷体-GB2312" w:hAnsi="CESI楷体-GB2312" w:eastAsia="CESI楷体-GB2312" w:cs="CESI楷体-GB2312"/>
          <w:b w:val="0"/>
          <w:bCs/>
          <w:sz w:val="32"/>
          <w:szCs w:val="32"/>
        </w:rPr>
      </w:pPr>
      <w:r>
        <w:rPr>
          <w:rFonts w:hint="eastAsia" w:ascii="CESI楷体-GB2312" w:hAnsi="CESI楷体-GB2312" w:eastAsia="CESI楷体-GB2312" w:cs="CESI楷体-GB2312"/>
          <w:b w:val="0"/>
          <w:bCs/>
          <w:sz w:val="32"/>
          <w:szCs w:val="32"/>
        </w:rPr>
        <w:t>主办单位：东营市发展和改革委员会</w:t>
      </w:r>
      <w:r>
        <w:rPr>
          <w:rFonts w:hint="eastAsia" w:ascii="CESI楷体-GB2312" w:hAnsi="CESI楷体-GB2312" w:eastAsia="CESI楷体-GB2312" w:cs="CESI楷体-GB2312"/>
          <w:b w:val="0"/>
          <w:bCs/>
          <w:sz w:val="32"/>
          <w:szCs w:val="32"/>
          <w:lang w:val="en-US" w:eastAsia="zh-CN"/>
        </w:rPr>
        <w:t xml:space="preserve"> </w:t>
      </w:r>
      <w:r>
        <w:rPr>
          <w:rFonts w:hint="eastAsia" w:ascii="CESI楷体-GB2312" w:hAnsi="CESI楷体-GB2312" w:eastAsia="CESI楷体-GB2312" w:cs="CESI楷体-GB2312"/>
          <w:b w:val="0"/>
          <w:bCs/>
          <w:sz w:val="32"/>
          <w:szCs w:val="32"/>
        </w:rPr>
        <w:t>联系电话：8381031</w:t>
      </w:r>
    </w:p>
    <w:p>
      <w:pPr>
        <w:pStyle w:val="2"/>
        <w:pageBreakBefore w:val="0"/>
        <w:kinsoku/>
        <w:wordWrap/>
        <w:overflowPunct/>
        <w:topLinePunct w:val="0"/>
        <w:bidi w:val="0"/>
        <w:spacing w:line="590" w:lineRule="exact"/>
        <w:ind w:firstLine="640" w:firstLineChars="200"/>
        <w:rPr>
          <w:rFonts w:hint="eastAsia" w:ascii="仿宋_GB2312" w:hAnsi="Times New Roman" w:eastAsia="仿宋_GB2312"/>
          <w:sz w:val="32"/>
          <w:szCs w:val="32"/>
        </w:rPr>
      </w:pPr>
    </w:p>
    <w:p>
      <w:pPr>
        <w:pStyle w:val="2"/>
        <w:pageBreakBefore w:val="0"/>
        <w:kinsoku/>
        <w:wordWrap/>
        <w:overflowPunct/>
        <w:topLinePunct w:val="0"/>
        <w:bidi w:val="0"/>
        <w:spacing w:line="590" w:lineRule="exact"/>
        <w:ind w:firstLine="640" w:firstLineChars="200"/>
        <w:rPr>
          <w:rFonts w:hint="eastAsia" w:ascii="仿宋_GB2312" w:hAnsi="Times New Roman" w:eastAsia="仿宋_GB2312"/>
          <w:sz w:val="32"/>
          <w:szCs w:val="32"/>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 w:eastAsia="zh-C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宋体" w:hAnsi="宋体" w:eastAsia="宋体" w:cs="宋体"/>
          <w:b/>
          <w:bCs/>
          <w:sz w:val="32"/>
          <w:szCs w:val="32"/>
          <w:lang w:val="en" w:eastAsia="zh-CN"/>
        </w:rPr>
      </w:pPr>
      <w:bookmarkStart w:id="60" w:name="_Toc24839"/>
      <w:r>
        <w:rPr>
          <w:rFonts w:hint="eastAsia" w:ascii="方正小标宋简体" w:hAnsi="方正小标宋简体" w:eastAsia="方正小标宋简体" w:cs="方正小标宋简体"/>
          <w:b w:val="0"/>
          <w:bCs w:val="0"/>
          <w:sz w:val="36"/>
          <w:szCs w:val="36"/>
          <w:lang w:val="en" w:eastAsia="zh-CN"/>
        </w:rPr>
        <w:t>支持农村金融发展有关税收政策</w:t>
      </w:r>
      <w:bookmarkEnd w:id="60"/>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CESI仿宋-GB2312" w:hAnsi="CESI仿宋-GB2312" w:eastAsia="CESI仿宋-GB2312" w:cs="CESI仿宋-GB2312"/>
          <w:sz w:val="32"/>
          <w:szCs w:val="32"/>
          <w:lang w:val="en-US" w:eastAsia="zh-CN"/>
        </w:rPr>
      </w:pPr>
      <w:r>
        <w:rPr>
          <w:rFonts w:hint="eastAsia" w:ascii="Times New Roman" w:hAnsi="Times New Roman" w:eastAsia="黑体" w:cs="Times New Roman"/>
          <w:color w:val="auto"/>
          <w:kern w:val="2"/>
          <w:sz w:val="32"/>
          <w:szCs w:val="32"/>
          <w:lang w:val="en-US" w:eastAsia="zh-CN" w:bidi="ar-SA"/>
        </w:rPr>
        <w:t>一、服务对象和范围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金融机构农户小额贷款的利息收入。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val="en-US" w:eastAsia="zh-CN"/>
        </w:rPr>
        <w:t>二</w:t>
      </w:r>
      <w:r>
        <w:rPr>
          <w:rFonts w:hint="eastAsia" w:ascii="Times New Roman" w:hAnsi="Times New Roman" w:eastAsia="黑体" w:cs="Times New Roman"/>
          <w:sz w:val="32"/>
          <w:szCs w:val="32"/>
          <w:lang w:eastAsia="zh-CN"/>
        </w:rPr>
        <w:t>、政策依据</w:t>
      </w:r>
    </w:p>
    <w:p>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90" w:lineRule="exact"/>
        <w:ind w:left="0" w:right="0" w:firstLine="640" w:firstLineChars="200"/>
        <w:textAlignment w:val="auto"/>
        <w:rPr>
          <w:rFonts w:hint="eastAsia" w:ascii="CESI仿宋-GB2312" w:hAnsi="CESI仿宋-GB2312" w:eastAsia="CESI仿宋-GB2312" w:cs="CESI仿宋-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 w:eastAsia="zh-CN" w:bidi="ar-SA"/>
        </w:rPr>
        <w:t>《财政部 税务总局关于延续支持农村金融发展有关税收政策的通知》（财税〔2017〕44号）；</w:t>
      </w:r>
      <w:r>
        <w:rPr>
          <w:rFonts w:hint="eastAsia" w:ascii="仿宋_GB2312" w:hAnsi="仿宋_GB2312" w:eastAsia="仿宋_GB2312" w:cs="仿宋_GB2312"/>
          <w:color w:val="auto"/>
          <w:kern w:val="2"/>
          <w:sz w:val="32"/>
          <w:szCs w:val="32"/>
          <w:highlight w:val="none"/>
          <w:lang w:val="en" w:eastAsia="zh-CN" w:bidi="ar-SA"/>
        </w:rPr>
        <w:t>《财政部 税务总局关于延续实施普惠金融有关税收优惠政策的公告》（财政部 税务总局公告2020年第22号）。</w:t>
      </w:r>
      <w:r>
        <w:rPr>
          <w:rFonts w:hint="eastAsia" w:ascii="仿宋_GB2312" w:hAnsi="仿宋_GB2312" w:eastAsia="仿宋_GB2312" w:cs="仿宋_GB2312"/>
          <w:color w:val="auto"/>
          <w:kern w:val="2"/>
          <w:sz w:val="32"/>
          <w:szCs w:val="32"/>
          <w:highlight w:val="none"/>
          <w:lang w:val="en-US" w:eastAsia="zh-CN" w:bidi="ar-SA"/>
        </w:rPr>
        <w:t>文件有效期：自2017年1月1日至2023年12月31日。</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三、政策措施内容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仿宋_GB2312" w:hAnsi="仿宋_GB2312" w:eastAsia="仿宋_GB2312" w:cs="仿宋_GB2312"/>
          <w:color w:val="auto"/>
          <w:sz w:val="32"/>
          <w:szCs w:val="32"/>
          <w:highlight w:val="none"/>
          <w:lang w:val="en-US" w:eastAsia="zh-CN"/>
        </w:rPr>
        <w:t>自2017年1月1日至</w:t>
      </w:r>
      <w:r>
        <w:rPr>
          <w:rFonts w:hint="eastAsia" w:ascii="仿宋_GB2312" w:hAnsi="仿宋_GB2312" w:eastAsia="仿宋_GB2312" w:cs="仿宋_GB2312"/>
          <w:color w:val="auto"/>
          <w:kern w:val="2"/>
          <w:sz w:val="32"/>
          <w:szCs w:val="32"/>
          <w:highlight w:val="none"/>
          <w:lang w:val="en-US" w:eastAsia="zh-CN" w:bidi="ar-SA"/>
        </w:rPr>
        <w:t>2023年12月31日</w:t>
      </w:r>
      <w:r>
        <w:rPr>
          <w:rFonts w:hint="eastAsia" w:ascii="仿宋_GB2312" w:hAnsi="仿宋_GB2312" w:eastAsia="仿宋_GB2312" w:cs="仿宋_GB2312"/>
          <w:color w:val="auto"/>
          <w:sz w:val="32"/>
          <w:szCs w:val="32"/>
          <w:highlight w:val="none"/>
          <w:lang w:val="en-US" w:eastAsia="zh-CN"/>
        </w:rPr>
        <w:t>，对金融机构农户小额贷款的利息收入，在计算应纳税所得额时，按90%计入收入总额。</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四、申报办理流程</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可通过办税服务厅（场所）、电子税务局办理。</w:t>
      </w:r>
    </w:p>
    <w:p>
      <w:pPr>
        <w:pStyle w:val="2"/>
        <w:pageBreakBefore w:val="0"/>
        <w:kinsoku/>
        <w:wordWrap/>
        <w:overflowPunct/>
        <w:topLinePunct w:val="0"/>
        <w:bidi w:val="0"/>
        <w:spacing w:line="590" w:lineRule="exact"/>
        <w:rPr>
          <w:rFonts w:hint="eastAsia" w:ascii="方正仿宋_GB2312" w:hAnsi="方正仿宋_GB2312" w:eastAsia="方正仿宋_GB2312" w:cs="方正仿宋_GB2312"/>
          <w:color w:val="auto"/>
          <w:kern w:val="2"/>
          <w:sz w:val="32"/>
          <w:szCs w:val="32"/>
          <w:lang w:val="en-US" w:eastAsia="zh-CN" w:bidi="ar-SA"/>
        </w:rPr>
      </w:pPr>
    </w:p>
    <w:p>
      <w:pPr>
        <w:pStyle w:val="2"/>
        <w:pageBreakBefore w:val="0"/>
        <w:kinsoku/>
        <w:wordWrap/>
        <w:overflowPunct/>
        <w:topLinePunct w:val="0"/>
        <w:bidi w:val="0"/>
        <w:spacing w:line="590" w:lineRule="exact"/>
        <w:rPr>
          <w:rFonts w:hint="eastAsia" w:ascii="方正仿宋_GB2312" w:hAnsi="方正仿宋_GB2312" w:eastAsia="方正仿宋_GB2312" w:cs="方正仿宋_GB2312"/>
          <w:color w:val="auto"/>
          <w:kern w:val="2"/>
          <w:sz w:val="32"/>
          <w:szCs w:val="32"/>
          <w:lang w:val="en-US" w:eastAsia="zh-CN" w:bidi="ar-SA"/>
        </w:rPr>
      </w:pPr>
    </w:p>
    <w:p>
      <w:pPr>
        <w:pStyle w:val="2"/>
        <w:pageBreakBefore w:val="0"/>
        <w:kinsoku/>
        <w:wordWrap/>
        <w:overflowPunct/>
        <w:topLinePunct w:val="0"/>
        <w:bidi w:val="0"/>
        <w:spacing w:line="590" w:lineRule="exact"/>
        <w:rPr>
          <w:rFonts w:hint="eastAsia" w:ascii="方正仿宋_GB2312" w:hAnsi="方正仿宋_GB2312" w:eastAsia="方正仿宋_GB2312" w:cs="方正仿宋_GB2312"/>
          <w:color w:val="auto"/>
          <w:kern w:val="2"/>
          <w:sz w:val="32"/>
          <w:szCs w:val="32"/>
          <w:lang w:val="en-US" w:eastAsia="zh-CN" w:bidi="ar-SA"/>
        </w:rPr>
      </w:pPr>
    </w:p>
    <w:p>
      <w:pPr>
        <w:pStyle w:val="2"/>
        <w:pageBreakBefore w:val="0"/>
        <w:kinsoku/>
        <w:wordWrap/>
        <w:overflowPunct/>
        <w:topLinePunct w:val="0"/>
        <w:bidi w:val="0"/>
        <w:spacing w:line="590" w:lineRule="exact"/>
        <w:rPr>
          <w:rFonts w:hint="eastAsia" w:ascii="方正仿宋_GB2312" w:hAnsi="方正仿宋_GB2312" w:eastAsia="方正仿宋_GB2312" w:cs="方正仿宋_GB2312"/>
          <w:color w:val="auto"/>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 w:eastAsia="zh-C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 w:eastAsia="zh-C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 w:eastAsia="zh-C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宋体" w:hAnsi="宋体" w:eastAsia="宋体" w:cs="宋体"/>
          <w:b/>
          <w:bCs/>
          <w:sz w:val="32"/>
          <w:szCs w:val="32"/>
          <w:lang w:val="en" w:eastAsia="zh-CN"/>
        </w:rPr>
      </w:pPr>
      <w:bookmarkStart w:id="61" w:name="_Toc4293"/>
      <w:r>
        <w:rPr>
          <w:rFonts w:hint="eastAsia" w:ascii="方正小标宋简体" w:hAnsi="方正小标宋简体" w:eastAsia="方正小标宋简体" w:cs="方正小标宋简体"/>
          <w:b w:val="0"/>
          <w:bCs w:val="0"/>
          <w:sz w:val="36"/>
          <w:szCs w:val="36"/>
          <w:lang w:val="en" w:eastAsia="zh-CN"/>
        </w:rPr>
        <w:t>小额贷款公司有关税收政策</w:t>
      </w:r>
      <w:bookmarkEnd w:id="61"/>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CESI仿宋-GB2312" w:hAnsi="CESI仿宋-GB2312" w:eastAsia="CESI仿宋-GB2312" w:cs="CESI仿宋-GB2312"/>
          <w:sz w:val="32"/>
          <w:szCs w:val="32"/>
          <w:lang w:val="en-US" w:eastAsia="zh-CN"/>
        </w:rPr>
      </w:pPr>
      <w:r>
        <w:rPr>
          <w:rFonts w:hint="eastAsia" w:ascii="Times New Roman" w:hAnsi="Times New Roman" w:eastAsia="黑体" w:cs="Times New Roman"/>
          <w:color w:val="auto"/>
          <w:kern w:val="2"/>
          <w:sz w:val="32"/>
          <w:szCs w:val="32"/>
          <w:lang w:val="en-US" w:eastAsia="zh-CN" w:bidi="ar-SA"/>
        </w:rPr>
        <w:t>一、服务对象和范围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经省级金融管理部门（金融办、局等）批准成立的小额贷款公司。</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val="en-US" w:eastAsia="zh-CN"/>
        </w:rPr>
        <w:t>二</w:t>
      </w:r>
      <w:r>
        <w:rPr>
          <w:rFonts w:hint="eastAsia" w:ascii="Times New Roman" w:hAnsi="Times New Roman" w:eastAsia="黑体" w:cs="Times New Roman"/>
          <w:sz w:val="32"/>
          <w:szCs w:val="32"/>
          <w:lang w:eastAsia="zh-CN"/>
        </w:rPr>
        <w:t>、政策依据</w:t>
      </w:r>
    </w:p>
    <w:p>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90" w:lineRule="exact"/>
        <w:ind w:left="0" w:right="0" w:firstLine="640" w:firstLineChars="200"/>
        <w:textAlignment w:val="auto"/>
        <w:rPr>
          <w:rFonts w:hint="eastAsia" w:ascii="CESI仿宋-GB2312" w:hAnsi="CESI仿宋-GB2312" w:eastAsia="CESI仿宋-GB2312" w:cs="CESI仿宋-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 w:eastAsia="zh-CN" w:bidi="ar-SA"/>
        </w:rPr>
        <w:t>《财政部 税务总局关于小额贷款公司有关税收政策的通知》（财税〔2017〕48号）；</w:t>
      </w:r>
      <w:r>
        <w:rPr>
          <w:rFonts w:hint="eastAsia" w:ascii="仿宋_GB2312" w:hAnsi="仿宋_GB2312" w:eastAsia="仿宋_GB2312" w:cs="仿宋_GB2312"/>
          <w:color w:val="auto"/>
          <w:kern w:val="2"/>
          <w:sz w:val="32"/>
          <w:szCs w:val="32"/>
          <w:highlight w:val="none"/>
          <w:lang w:val="en" w:eastAsia="zh-CN" w:bidi="ar-SA"/>
        </w:rPr>
        <w:t>《财政部 税务总局关于延续实施普惠金融有关税收优惠政策的公告》（财政部 税务总局公告2020年第22号）。执行期</w:t>
      </w:r>
      <w:r>
        <w:rPr>
          <w:rFonts w:hint="eastAsia" w:ascii="仿宋_GB2312" w:hAnsi="仿宋_GB2312" w:eastAsia="仿宋_GB2312" w:cs="仿宋_GB2312"/>
          <w:color w:val="auto"/>
          <w:kern w:val="2"/>
          <w:sz w:val="32"/>
          <w:szCs w:val="32"/>
          <w:highlight w:val="none"/>
          <w:lang w:val="en-US" w:eastAsia="zh-CN" w:bidi="ar-SA"/>
        </w:rPr>
        <w:t>2017年1月1日至2023年12月31日。</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三、政策措施内容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仿宋_GB2312" w:hAnsi="仿宋_GB2312" w:eastAsia="仿宋_GB2312" w:cs="仿宋_GB2312"/>
          <w:color w:val="auto"/>
          <w:sz w:val="32"/>
          <w:szCs w:val="32"/>
          <w:highlight w:val="none"/>
          <w:lang w:val="en-US" w:eastAsia="zh-CN"/>
        </w:rPr>
        <w:t>自2017年1月1日至</w:t>
      </w:r>
      <w:r>
        <w:rPr>
          <w:rFonts w:hint="eastAsia" w:ascii="仿宋_GB2312" w:hAnsi="仿宋_GB2312" w:eastAsia="仿宋_GB2312" w:cs="仿宋_GB2312"/>
          <w:color w:val="auto"/>
          <w:kern w:val="2"/>
          <w:sz w:val="32"/>
          <w:szCs w:val="32"/>
          <w:highlight w:val="none"/>
          <w:lang w:val="en-US" w:eastAsia="zh-CN" w:bidi="ar-SA"/>
        </w:rPr>
        <w:t>2023年12月31日</w:t>
      </w:r>
      <w:r>
        <w:rPr>
          <w:rFonts w:hint="eastAsia" w:ascii="仿宋_GB2312" w:hAnsi="仿宋_GB2312" w:eastAsia="仿宋_GB2312" w:cs="仿宋_GB2312"/>
          <w:color w:val="auto"/>
          <w:sz w:val="32"/>
          <w:szCs w:val="32"/>
          <w:highlight w:val="none"/>
          <w:lang w:val="en-US" w:eastAsia="zh-CN"/>
        </w:rPr>
        <w:t>，对经省级金融管理部门（金融办、局等）批准成立的小额贷款公司取得的农户小额贷款利息收入，免征增值税。自2017年1月1日至</w:t>
      </w:r>
      <w:r>
        <w:rPr>
          <w:rFonts w:hint="eastAsia" w:ascii="仿宋_GB2312" w:hAnsi="仿宋_GB2312" w:eastAsia="仿宋_GB2312" w:cs="仿宋_GB2312"/>
          <w:color w:val="auto"/>
          <w:kern w:val="2"/>
          <w:sz w:val="32"/>
          <w:szCs w:val="32"/>
          <w:highlight w:val="none"/>
          <w:lang w:val="en-US" w:eastAsia="zh-CN" w:bidi="ar-SA"/>
        </w:rPr>
        <w:t>2023年12月31日</w:t>
      </w:r>
      <w:r>
        <w:rPr>
          <w:rFonts w:hint="eastAsia" w:ascii="仿宋_GB2312" w:hAnsi="仿宋_GB2312" w:eastAsia="仿宋_GB2312" w:cs="仿宋_GB2312"/>
          <w:color w:val="auto"/>
          <w:sz w:val="32"/>
          <w:szCs w:val="32"/>
          <w:highlight w:val="none"/>
          <w:lang w:val="en-US" w:eastAsia="zh-CN"/>
        </w:rPr>
        <w:t>，对经省级金融管理部门（金融办、局等）批准成立的小额贷款公司取得的农户小额贷款利息收入，在计算应纳税所得额时，按90%计入收入总额。自2017年1月1日至</w:t>
      </w:r>
      <w:r>
        <w:rPr>
          <w:rFonts w:hint="eastAsia" w:ascii="仿宋_GB2312" w:hAnsi="仿宋_GB2312" w:eastAsia="仿宋_GB2312" w:cs="仿宋_GB2312"/>
          <w:color w:val="auto"/>
          <w:kern w:val="2"/>
          <w:sz w:val="32"/>
          <w:szCs w:val="32"/>
          <w:highlight w:val="none"/>
          <w:lang w:val="en-US" w:eastAsia="zh-CN" w:bidi="ar-SA"/>
        </w:rPr>
        <w:t>2023年12月31日</w:t>
      </w:r>
      <w:r>
        <w:rPr>
          <w:rFonts w:hint="eastAsia" w:ascii="仿宋_GB2312" w:hAnsi="仿宋_GB2312" w:eastAsia="仿宋_GB2312" w:cs="仿宋_GB2312"/>
          <w:color w:val="auto"/>
          <w:sz w:val="32"/>
          <w:szCs w:val="32"/>
          <w:highlight w:val="none"/>
          <w:lang w:val="en-US" w:eastAsia="zh-CN"/>
        </w:rPr>
        <w:t>，对经省级金融管理部门（金融办、局等）批准成立的小额贷款公司按年末贷款余额的1%计提的贷款损失准备金准予在企业所得税税前扣除。</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四、申报办理流程</w:t>
      </w: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可通过办税服务厅（场所）、电子税务局办理</w:t>
      </w: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 w:eastAsia="zh-CN"/>
        </w:rPr>
      </w:pPr>
      <w:bookmarkStart w:id="62" w:name="_Toc1177"/>
      <w:r>
        <w:rPr>
          <w:rFonts w:hint="eastAsia" w:ascii="方正小标宋简体" w:hAnsi="方正小标宋简体" w:eastAsia="方正小标宋简体" w:cs="方正小标宋简体"/>
          <w:b w:val="0"/>
          <w:bCs w:val="0"/>
          <w:sz w:val="36"/>
          <w:szCs w:val="36"/>
          <w:lang w:val="en-US" w:eastAsia="zh-CN"/>
        </w:rPr>
        <w:t>支持小微企业融资有关税收政策</w:t>
      </w:r>
      <w:bookmarkEnd w:id="62"/>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Times New Roman" w:hAnsi="Times New Roman" w:eastAsia="黑体" w:cs="Times New Roman"/>
          <w:color w:val="auto"/>
          <w:kern w:val="2"/>
          <w:sz w:val="32"/>
          <w:szCs w:val="32"/>
          <w:lang w:val="en-US" w:eastAsia="zh-CN" w:bidi="ar-SA"/>
        </w:rPr>
        <w:t>一、服务对象和范围：</w:t>
      </w:r>
      <w:r>
        <w:rPr>
          <w:rFonts w:hint="eastAsia" w:ascii="仿宋_GB2312" w:hAnsi="仿宋_GB2312" w:eastAsia="仿宋_GB2312" w:cs="仿宋_GB2312"/>
          <w:color w:val="auto"/>
          <w:sz w:val="32"/>
          <w:szCs w:val="32"/>
          <w:highlight w:val="none"/>
          <w:lang w:val="en-US" w:eastAsia="zh-CN"/>
        </w:rPr>
        <w:t>各金融机构。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val="en-US" w:eastAsia="zh-CN"/>
        </w:rPr>
        <w:t>二</w:t>
      </w:r>
      <w:r>
        <w:rPr>
          <w:rFonts w:hint="eastAsia" w:ascii="Times New Roman" w:hAnsi="Times New Roman" w:eastAsia="黑体" w:cs="Times New Roman"/>
          <w:sz w:val="32"/>
          <w:szCs w:val="32"/>
          <w:lang w:eastAsia="zh-CN"/>
        </w:rPr>
        <w:t>、政策依据</w:t>
      </w:r>
    </w:p>
    <w:p>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90" w:lineRule="exact"/>
        <w:ind w:left="0" w:right="0" w:firstLine="640" w:firstLineChars="200"/>
        <w:textAlignment w:val="auto"/>
        <w:rPr>
          <w:rFonts w:hint="eastAsia" w:ascii="CESI仿宋-GB2312" w:hAnsi="CESI仿宋-GB2312" w:eastAsia="CESI仿宋-GB2312" w:cs="CESI仿宋-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 w:eastAsia="zh-CN" w:bidi="ar-SA"/>
        </w:rPr>
        <w:t>《财政部 税务总局关于支持小微企业融资有关税收政策的通知》（财税〔2017〕77号）；</w:t>
      </w:r>
      <w:r>
        <w:rPr>
          <w:rFonts w:hint="eastAsia" w:ascii="仿宋_GB2312" w:hAnsi="仿宋_GB2312" w:eastAsia="仿宋_GB2312" w:cs="仿宋_GB2312"/>
          <w:color w:val="auto"/>
          <w:kern w:val="2"/>
          <w:sz w:val="32"/>
          <w:szCs w:val="32"/>
          <w:highlight w:val="none"/>
          <w:lang w:val="en" w:eastAsia="zh-CN" w:bidi="ar-SA"/>
        </w:rPr>
        <w:t>《财政部 税务总局关于延续实施普惠金融有关税收优惠政策的公告》（财政部 税务总局公告2020年第22号）；《财政部 税务总局关于金融机构小微企业贷款利息收入免征增值税政策的通知》（财税〔2018〕91号）；《财政部 税务总局关于延长部分税收优惠政策执行期限的公告》（财政部 税务总局公告2021年第6号）。</w:t>
      </w:r>
      <w:r>
        <w:rPr>
          <w:rFonts w:hint="eastAsia" w:ascii="仿宋_GB2312" w:hAnsi="仿宋_GB2312" w:eastAsia="仿宋_GB2312" w:cs="仿宋_GB2312"/>
          <w:color w:val="auto"/>
          <w:kern w:val="2"/>
          <w:sz w:val="32"/>
          <w:szCs w:val="32"/>
          <w:highlight w:val="none"/>
          <w:lang w:val="en-US" w:eastAsia="zh-CN" w:bidi="ar-SA"/>
        </w:rPr>
        <w:t>文件有效期：自2017年12月1日至2023年12月31日。</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三、政策措施内容</w:t>
      </w:r>
    </w:p>
    <w:p>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90" w:lineRule="exact"/>
        <w:ind w:left="0" w:right="0"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2017年12月1日至2023年12月31日，对金融机构向农户、小型企业、微型企业及个体工商户发放小额贷款取得的利息收入，免征增值税。2018年1月1日至2023年12月31日，对金融机构与小型企业、微型企业签订的借款合同免征印花税。2018年9月1日至2023年12月31日，对金融机构向小型企业、微型企业和个体工商户发放小额贷款取得的利息收入，免征增值税。</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四、申报办理流程</w:t>
      </w: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可通过办税服务厅（场所）、电子税务局办理。</w:t>
      </w: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宋体" w:hAnsi="宋体" w:eastAsia="宋体" w:cs="宋体"/>
          <w:b/>
          <w:bCs/>
          <w:sz w:val="32"/>
          <w:szCs w:val="32"/>
          <w:lang w:val="en-US" w:eastAsia="zh-CN"/>
        </w:rPr>
      </w:pPr>
      <w:bookmarkStart w:id="63" w:name="_Toc31846"/>
      <w:r>
        <w:rPr>
          <w:rFonts w:hint="eastAsia" w:ascii="方正小标宋简体" w:hAnsi="方正小标宋简体" w:eastAsia="方正小标宋简体" w:cs="方正小标宋简体"/>
          <w:b w:val="0"/>
          <w:bCs w:val="0"/>
          <w:sz w:val="36"/>
          <w:szCs w:val="36"/>
          <w:lang w:val="en-US" w:eastAsia="zh-CN"/>
        </w:rPr>
        <w:t>金融企业贷款损失准备金企业所得税税前扣除政策</w:t>
      </w:r>
      <w:bookmarkEnd w:id="63"/>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CESI仿宋-GB2312" w:hAnsi="CESI仿宋-GB2312" w:eastAsia="CESI仿宋-GB2312" w:cs="CESI仿宋-GB2312"/>
          <w:sz w:val="32"/>
          <w:szCs w:val="32"/>
          <w:lang w:val="en-US" w:eastAsia="zh-CN"/>
        </w:rPr>
      </w:pPr>
      <w:r>
        <w:rPr>
          <w:rFonts w:hint="eastAsia" w:ascii="Times New Roman" w:hAnsi="Times New Roman" w:eastAsia="黑体" w:cs="Times New Roman"/>
          <w:color w:val="auto"/>
          <w:kern w:val="2"/>
          <w:sz w:val="32"/>
          <w:szCs w:val="32"/>
          <w:lang w:val="en-US" w:eastAsia="zh-CN" w:bidi="ar-SA"/>
        </w:rPr>
        <w:t>一、服务对象和范围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highlight w:val="none"/>
          <w:lang w:val="en" w:eastAsia="zh-CN" w:bidi="ar-SA"/>
        </w:rPr>
      </w:pPr>
      <w:r>
        <w:rPr>
          <w:rFonts w:hint="eastAsia" w:ascii="仿宋_GB2312" w:hAnsi="仿宋_GB2312" w:eastAsia="仿宋_GB2312" w:cs="仿宋_GB2312"/>
          <w:color w:val="auto"/>
          <w:kern w:val="2"/>
          <w:sz w:val="32"/>
          <w:szCs w:val="32"/>
          <w:highlight w:val="none"/>
          <w:lang w:val="en" w:eastAsia="zh-CN" w:bidi="ar-SA"/>
        </w:rPr>
        <w:t>政策性银行、商业银行、财务公司、城乡信用社和金融租赁公司等金融企业。</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val="en-US" w:eastAsia="zh-CN"/>
        </w:rPr>
        <w:t>二</w:t>
      </w:r>
      <w:r>
        <w:rPr>
          <w:rFonts w:hint="eastAsia" w:ascii="Times New Roman" w:hAnsi="Times New Roman" w:eastAsia="黑体" w:cs="Times New Roman"/>
          <w:sz w:val="32"/>
          <w:szCs w:val="32"/>
          <w:lang w:eastAsia="zh-CN"/>
        </w:rPr>
        <w:t>、政策依据</w:t>
      </w:r>
    </w:p>
    <w:p>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90" w:lineRule="exact"/>
        <w:ind w:left="0" w:right="0" w:firstLine="640" w:firstLineChars="200"/>
        <w:textAlignment w:val="auto"/>
        <w:rPr>
          <w:rFonts w:hint="eastAsia" w:ascii="CESI仿宋-GB2312" w:hAnsi="CESI仿宋-GB2312" w:eastAsia="CESI仿宋-GB2312" w:cs="CESI仿宋-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 w:eastAsia="zh-CN" w:bidi="ar-SA"/>
        </w:rPr>
        <w:t>《财政部税务总局关于金融企业贷款损失准备金企业所得税税前扣除有关政策的公告》（财政部税务总局公告2019 年第86 号）；《财政部 税务总局关于延长部分税收优惠政策执行期限的公告》（财政部 税务总局公告2021年第6号）。</w:t>
      </w:r>
      <w:r>
        <w:rPr>
          <w:rFonts w:hint="eastAsia" w:ascii="仿宋_GB2312" w:hAnsi="仿宋_GB2312" w:eastAsia="仿宋_GB2312" w:cs="仿宋_GB2312"/>
          <w:color w:val="auto"/>
          <w:kern w:val="2"/>
          <w:sz w:val="32"/>
          <w:szCs w:val="32"/>
          <w:highlight w:val="none"/>
          <w:lang w:val="en-US" w:eastAsia="zh-CN" w:bidi="ar-SA"/>
        </w:rPr>
        <w:t>文件有效期：</w:t>
      </w:r>
      <w:r>
        <w:rPr>
          <w:rFonts w:hint="eastAsia" w:ascii="仿宋_GB2312" w:hAnsi="仿宋_GB2312" w:eastAsia="仿宋_GB2312" w:cs="仿宋_GB2312"/>
          <w:color w:val="auto"/>
          <w:kern w:val="2"/>
          <w:sz w:val="32"/>
          <w:szCs w:val="32"/>
          <w:highlight w:val="none"/>
          <w:lang w:val="en" w:eastAsia="zh-CN" w:bidi="ar-SA"/>
        </w:rPr>
        <w:t>自2019年1月1日起。</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三、政策措施内容</w:t>
      </w:r>
    </w:p>
    <w:p>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90" w:lineRule="exact"/>
        <w:ind w:left="0" w:right="0" w:firstLine="640" w:firstLineChars="200"/>
        <w:jc w:val="left"/>
        <w:textAlignment w:val="auto"/>
        <w:rPr>
          <w:rFonts w:hint="eastAsia" w:ascii="仿宋_GB2312" w:hAnsi="仿宋_GB2312" w:eastAsia="仿宋_GB2312" w:cs="仿宋_GB2312"/>
          <w:color w:val="auto"/>
          <w:kern w:val="2"/>
          <w:sz w:val="32"/>
          <w:szCs w:val="32"/>
          <w:highlight w:val="none"/>
          <w:lang w:val="en" w:eastAsia="zh-CN" w:bidi="ar-SA"/>
        </w:rPr>
      </w:pPr>
      <w:r>
        <w:rPr>
          <w:rFonts w:hint="eastAsia" w:ascii="仿宋_GB2312" w:hAnsi="仿宋_GB2312" w:eastAsia="仿宋_GB2312" w:cs="仿宋_GB2312"/>
          <w:color w:val="auto"/>
          <w:kern w:val="2"/>
          <w:sz w:val="32"/>
          <w:szCs w:val="32"/>
          <w:highlight w:val="none"/>
          <w:lang w:val="en" w:eastAsia="zh-CN" w:bidi="ar-SA"/>
        </w:rPr>
        <w:t>自2019年1月1日，政策性银行、商业银行、财务公司、城乡信用社和金融租赁公司等金融企业提取的贷款损失准备金准予企业所得税税前扣除。</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四、申报办理流程</w:t>
      </w: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可通过办税服务厅（场所）、电子税务局办理。</w:t>
      </w: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bookmarkStart w:id="64" w:name="_Toc17870"/>
      <w:r>
        <w:rPr>
          <w:rFonts w:hint="eastAsia" w:ascii="方正小标宋简体" w:hAnsi="方正小标宋简体" w:eastAsia="方正小标宋简体" w:cs="方正小标宋简体"/>
          <w:b w:val="0"/>
          <w:bCs w:val="0"/>
          <w:sz w:val="36"/>
          <w:szCs w:val="36"/>
          <w:lang w:val="en-US" w:eastAsia="zh-CN"/>
        </w:rPr>
        <w:t>金融企业涉农贷款和中小企业贷款损失准备金</w:t>
      </w:r>
      <w:bookmarkEnd w:id="64"/>
    </w:p>
    <w:p>
      <w:pPr>
        <w:keepNext w:val="0"/>
        <w:keepLines w:val="0"/>
        <w:pageBreakBefore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bookmarkStart w:id="65" w:name="_Toc19723"/>
      <w:bookmarkStart w:id="66" w:name="_Toc5913"/>
      <w:r>
        <w:rPr>
          <w:rFonts w:hint="eastAsia" w:ascii="方正小标宋简体" w:hAnsi="方正小标宋简体" w:eastAsia="方正小标宋简体" w:cs="方正小标宋简体"/>
          <w:b w:val="0"/>
          <w:bCs w:val="0"/>
          <w:sz w:val="36"/>
          <w:szCs w:val="36"/>
          <w:lang w:val="en-US" w:eastAsia="zh-CN"/>
        </w:rPr>
        <w:t>税前扣除政策</w:t>
      </w:r>
      <w:bookmarkEnd w:id="65"/>
      <w:bookmarkEnd w:id="66"/>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CESI仿宋-GB2312" w:hAnsi="CESI仿宋-GB2312" w:eastAsia="CESI仿宋-GB2312" w:cs="CESI仿宋-GB2312"/>
          <w:sz w:val="32"/>
          <w:szCs w:val="32"/>
          <w:lang w:val="en-US" w:eastAsia="zh-CN"/>
        </w:rPr>
      </w:pPr>
      <w:r>
        <w:rPr>
          <w:rFonts w:hint="eastAsia" w:ascii="Times New Roman" w:hAnsi="Times New Roman" w:eastAsia="黑体" w:cs="Times New Roman"/>
          <w:color w:val="auto"/>
          <w:kern w:val="2"/>
          <w:sz w:val="32"/>
          <w:szCs w:val="32"/>
          <w:lang w:val="en-US" w:eastAsia="zh-CN" w:bidi="ar-SA"/>
        </w:rPr>
        <w:t>一、服务对象和范围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highlight w:val="none"/>
          <w:lang w:val="en" w:eastAsia="zh-CN" w:bidi="ar-SA"/>
        </w:rPr>
      </w:pPr>
      <w:r>
        <w:rPr>
          <w:rFonts w:hint="eastAsia" w:ascii="仿宋_GB2312" w:hAnsi="仿宋_GB2312" w:eastAsia="仿宋_GB2312" w:cs="仿宋_GB2312"/>
          <w:color w:val="auto"/>
          <w:kern w:val="2"/>
          <w:sz w:val="32"/>
          <w:szCs w:val="32"/>
          <w:highlight w:val="none"/>
          <w:lang w:val="en" w:eastAsia="zh-CN" w:bidi="ar-SA"/>
        </w:rPr>
        <w:t>金融企业。</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val="en-US" w:eastAsia="zh-CN"/>
        </w:rPr>
        <w:t>二</w:t>
      </w:r>
      <w:r>
        <w:rPr>
          <w:rFonts w:hint="eastAsia" w:ascii="Times New Roman" w:hAnsi="Times New Roman" w:eastAsia="黑体" w:cs="Times New Roman"/>
          <w:sz w:val="32"/>
          <w:szCs w:val="32"/>
          <w:lang w:eastAsia="zh-CN"/>
        </w:rPr>
        <w:t>、政策依据</w:t>
      </w:r>
    </w:p>
    <w:p>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90" w:lineRule="exact"/>
        <w:ind w:left="0" w:right="0" w:firstLine="640" w:firstLineChars="200"/>
        <w:textAlignment w:val="auto"/>
        <w:rPr>
          <w:rFonts w:hint="eastAsia" w:ascii="CESI仿宋-GB2312" w:hAnsi="CESI仿宋-GB2312" w:eastAsia="CESI仿宋-GB2312" w:cs="CESI仿宋-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 w:eastAsia="zh-CN" w:bidi="ar-SA"/>
        </w:rPr>
        <w:t>《财政部税务总局关于金融企业涉农贷款和中小企业贷款损失准备金税前扣除有关政策的公告》（财政部税务总局公告2019年第85号）；《财政部 税务总局关于延长部分税收优惠政策执行期限的公告》（财政部 税务总局公告2021年第6号）。</w:t>
      </w:r>
      <w:r>
        <w:rPr>
          <w:rFonts w:hint="eastAsia" w:ascii="仿宋_GB2312" w:hAnsi="仿宋_GB2312" w:eastAsia="仿宋_GB2312" w:cs="仿宋_GB2312"/>
          <w:color w:val="auto"/>
          <w:kern w:val="2"/>
          <w:sz w:val="32"/>
          <w:szCs w:val="32"/>
          <w:highlight w:val="none"/>
          <w:lang w:val="en-US" w:eastAsia="zh-CN" w:bidi="ar-SA"/>
        </w:rPr>
        <w:t>文件有效期：</w:t>
      </w:r>
      <w:r>
        <w:rPr>
          <w:rFonts w:hint="eastAsia" w:ascii="仿宋_GB2312" w:hAnsi="仿宋_GB2312" w:eastAsia="仿宋_GB2312" w:cs="仿宋_GB2312"/>
          <w:color w:val="auto"/>
          <w:kern w:val="2"/>
          <w:sz w:val="32"/>
          <w:szCs w:val="32"/>
          <w:highlight w:val="none"/>
          <w:lang w:val="en" w:eastAsia="zh-CN" w:bidi="ar-SA"/>
        </w:rPr>
        <w:t>自2019年1月1日起。</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三、政策措施内容</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highlight w:val="none"/>
          <w:lang w:val="en" w:eastAsia="zh-CN" w:bidi="ar-SA"/>
        </w:rPr>
      </w:pPr>
      <w:r>
        <w:rPr>
          <w:rFonts w:hint="eastAsia" w:ascii="仿宋_GB2312" w:hAnsi="仿宋_GB2312" w:eastAsia="仿宋_GB2312" w:cs="仿宋_GB2312"/>
          <w:color w:val="auto"/>
          <w:kern w:val="2"/>
          <w:sz w:val="32"/>
          <w:szCs w:val="32"/>
          <w:highlight w:val="none"/>
          <w:lang w:val="en" w:eastAsia="zh-CN" w:bidi="ar-SA"/>
        </w:rPr>
        <w:t>自2019年1月1日：金融企业根据《贷款风险分类指引》（银监发〔2007〕54号），对其涉农贷款和中小企业贷款进行风险分类后，按照以下比例计提的贷款损失准备金，准予在计算应纳税所得额时扣除：（一）关注类贷款，计提比例为2%；（二）次级类贷款，计提比例为25%；（三）可疑类贷款，计提比例为50%；（四）损失类贷款，计提比例为100%。</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四、申报办理流程</w:t>
      </w: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可通过办税服务厅（场所）、电子税务局办理。</w:t>
      </w: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bookmarkStart w:id="67" w:name="_Toc6883"/>
      <w:r>
        <w:rPr>
          <w:rFonts w:hint="eastAsia" w:ascii="方正小标宋简体" w:hAnsi="方正小标宋简体" w:eastAsia="方正小标宋简体" w:cs="方正小标宋简体"/>
          <w:b w:val="0"/>
          <w:bCs w:val="0"/>
          <w:sz w:val="36"/>
          <w:szCs w:val="36"/>
          <w:lang w:val="en-US" w:eastAsia="zh-CN"/>
        </w:rPr>
        <w:t>一年期以上人身保险产品取得的保费收入</w:t>
      </w:r>
      <w:bookmarkEnd w:id="67"/>
    </w:p>
    <w:p>
      <w:pPr>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bookmarkStart w:id="68" w:name="_Toc30202"/>
      <w:bookmarkStart w:id="69" w:name="_Toc26617"/>
      <w:r>
        <w:rPr>
          <w:rFonts w:hint="eastAsia" w:ascii="方正小标宋简体" w:hAnsi="方正小标宋简体" w:eastAsia="方正小标宋简体" w:cs="方正小标宋简体"/>
          <w:b w:val="0"/>
          <w:bCs w:val="0"/>
          <w:sz w:val="36"/>
          <w:szCs w:val="36"/>
          <w:lang w:val="en-US" w:eastAsia="zh-CN"/>
        </w:rPr>
        <w:t>免征增值税政策</w:t>
      </w:r>
      <w:bookmarkEnd w:id="68"/>
      <w:bookmarkEnd w:id="69"/>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CESI仿宋-GB2312" w:hAnsi="CESI仿宋-GB2312" w:eastAsia="CESI仿宋-GB2312" w:cs="CESI仿宋-GB2312"/>
          <w:sz w:val="32"/>
          <w:szCs w:val="32"/>
          <w:lang w:val="en-US" w:eastAsia="zh-CN"/>
        </w:rPr>
      </w:pPr>
      <w:r>
        <w:rPr>
          <w:rFonts w:hint="eastAsia" w:ascii="Times New Roman" w:hAnsi="Times New Roman" w:eastAsia="黑体" w:cs="Times New Roman"/>
          <w:color w:val="auto"/>
          <w:kern w:val="2"/>
          <w:sz w:val="32"/>
          <w:szCs w:val="32"/>
          <w:lang w:val="en-US" w:eastAsia="zh-CN" w:bidi="ar-SA"/>
        </w:rPr>
        <w:t>一、服务对象和范围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highlight w:val="none"/>
          <w:lang w:val="en" w:eastAsia="zh-CN" w:bidi="ar-SA"/>
        </w:rPr>
      </w:pPr>
      <w:r>
        <w:rPr>
          <w:rFonts w:hint="eastAsia" w:ascii="仿宋_GB2312" w:hAnsi="仿宋_GB2312" w:eastAsia="仿宋_GB2312" w:cs="仿宋_GB2312"/>
          <w:color w:val="auto"/>
          <w:kern w:val="2"/>
          <w:sz w:val="32"/>
          <w:szCs w:val="32"/>
          <w:highlight w:val="none"/>
          <w:lang w:val="en" w:eastAsia="zh-CN" w:bidi="ar-SA"/>
        </w:rPr>
        <w:t>一年期以上人身保险产品。</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val="en-US" w:eastAsia="zh-CN"/>
        </w:rPr>
        <w:t>二</w:t>
      </w:r>
      <w:r>
        <w:rPr>
          <w:rFonts w:hint="eastAsia" w:ascii="Times New Roman" w:hAnsi="Times New Roman" w:eastAsia="黑体" w:cs="Times New Roman"/>
          <w:sz w:val="32"/>
          <w:szCs w:val="32"/>
          <w:lang w:eastAsia="zh-CN"/>
        </w:rPr>
        <w:t>、政策依据</w:t>
      </w:r>
    </w:p>
    <w:p>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90" w:lineRule="exact"/>
        <w:ind w:left="0" w:right="0" w:firstLine="640" w:firstLineChars="200"/>
        <w:textAlignment w:val="auto"/>
        <w:rPr>
          <w:rFonts w:hint="eastAsia" w:ascii="CESI仿宋-GB2312" w:hAnsi="CESI仿宋-GB2312" w:eastAsia="CESI仿宋-GB2312" w:cs="CESI仿宋-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《财政部 国家税务总局关于全面推开营业税改征增值税试点的通知》（财税〔2016〕36号）附件3第一条第（二十一）项。文件有效期：</w:t>
      </w:r>
      <w:r>
        <w:rPr>
          <w:rFonts w:hint="eastAsia" w:ascii="仿宋_GB2312" w:hAnsi="仿宋_GB2312" w:eastAsia="仿宋_GB2312" w:cs="仿宋_GB2312"/>
          <w:color w:val="auto"/>
          <w:kern w:val="2"/>
          <w:sz w:val="32"/>
          <w:szCs w:val="32"/>
          <w:highlight w:val="none"/>
          <w:lang w:val="en" w:eastAsia="zh-CN" w:bidi="ar-SA"/>
        </w:rPr>
        <w:t>自201</w:t>
      </w:r>
      <w:r>
        <w:rPr>
          <w:rFonts w:hint="eastAsia" w:ascii="仿宋_GB2312" w:hAnsi="仿宋_GB2312"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en" w:eastAsia="zh-CN" w:bidi="ar-SA"/>
        </w:rPr>
        <w:t>年</w:t>
      </w:r>
      <w:r>
        <w:rPr>
          <w:rFonts w:hint="eastAsia" w:ascii="仿宋_GB2312" w:hAnsi="仿宋_GB2312"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 w:eastAsia="zh-CN" w:bidi="ar-SA"/>
        </w:rPr>
        <w:t>月1日起。</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三、政策措施内容</w:t>
      </w:r>
    </w:p>
    <w:p>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90" w:lineRule="exact"/>
        <w:ind w:left="0" w:right="0"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自2016年5月1日起，保险公司开办的一年期以上人身保险产品取得的保费收入免征增值税。</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四、申报办理流程</w:t>
      </w: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可通过办税服务厅（场所）、电子税务局办理。</w:t>
      </w: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方正仿宋_GB2312" w:hAnsi="方正仿宋_GB2312" w:eastAsia="方正仿宋_GB2312" w:cs="方正仿宋_GB2312"/>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bookmarkStart w:id="70" w:name="_Toc30986"/>
      <w:r>
        <w:rPr>
          <w:rFonts w:hint="eastAsia" w:ascii="方正小标宋简体" w:hAnsi="方正小标宋简体" w:eastAsia="方正小标宋简体" w:cs="方正小标宋简体"/>
          <w:b w:val="0"/>
          <w:bCs w:val="0"/>
          <w:sz w:val="36"/>
          <w:szCs w:val="36"/>
          <w:lang w:val="en-US" w:eastAsia="zh-CN"/>
        </w:rPr>
        <w:t>保险公司准备金支出企业所得税税前扣除政策</w:t>
      </w:r>
      <w:bookmarkEnd w:id="70"/>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CESI仿宋-GB2312" w:hAnsi="CESI仿宋-GB2312" w:eastAsia="CESI仿宋-GB2312" w:cs="CESI仿宋-GB2312"/>
          <w:sz w:val="32"/>
          <w:szCs w:val="32"/>
          <w:lang w:val="en-US" w:eastAsia="zh-CN"/>
        </w:rPr>
      </w:pPr>
      <w:r>
        <w:rPr>
          <w:rFonts w:hint="eastAsia" w:ascii="Times New Roman" w:hAnsi="Times New Roman" w:eastAsia="黑体" w:cs="Times New Roman"/>
          <w:color w:val="auto"/>
          <w:kern w:val="2"/>
          <w:sz w:val="32"/>
          <w:szCs w:val="32"/>
          <w:lang w:val="en-US" w:eastAsia="zh-CN" w:bidi="ar-SA"/>
        </w:rPr>
        <w:t>一、服务对象和范围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保险公司。</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val="en-US" w:eastAsia="zh-CN"/>
        </w:rPr>
        <w:t>二</w:t>
      </w:r>
      <w:r>
        <w:rPr>
          <w:rFonts w:hint="eastAsia" w:ascii="Times New Roman" w:hAnsi="Times New Roman" w:eastAsia="黑体" w:cs="Times New Roman"/>
          <w:sz w:val="32"/>
          <w:szCs w:val="32"/>
          <w:lang w:eastAsia="zh-CN"/>
        </w:rPr>
        <w:t>、政策依据</w:t>
      </w:r>
    </w:p>
    <w:p>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90" w:lineRule="exact"/>
        <w:ind w:left="0" w:right="0" w:firstLine="640" w:firstLineChars="200"/>
        <w:textAlignment w:val="auto"/>
        <w:rPr>
          <w:rFonts w:hint="eastAsia" w:ascii="CESI仿宋-GB2312" w:hAnsi="CESI仿宋-GB2312" w:eastAsia="CESI仿宋-GB2312" w:cs="CESI仿宋-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lang w:val="en-US" w:eastAsia="zh-CN" w:bidi="ar-SA"/>
        </w:rPr>
        <w:t>《财政部 国家税务总局关于保险公司准备金支出企业所得税税前扣除有关政策问题的通知》（财税〔2016〕114号）；《财政部 税务总局关于延长部分税收优惠政策执行期限的公告》（财政部 税务总局公告2021年第6号）。文件有效期：</w:t>
      </w:r>
      <w:r>
        <w:rPr>
          <w:rFonts w:hint="eastAsia" w:ascii="仿宋_GB2312" w:hAnsi="仿宋_GB2312" w:eastAsia="仿宋_GB2312" w:cs="仿宋_GB2312"/>
          <w:color w:val="auto"/>
          <w:kern w:val="2"/>
          <w:sz w:val="32"/>
          <w:szCs w:val="32"/>
          <w:highlight w:val="none"/>
          <w:lang w:val="en" w:eastAsia="zh-CN" w:bidi="ar-SA"/>
        </w:rPr>
        <w:t>自201</w:t>
      </w:r>
      <w:r>
        <w:rPr>
          <w:rFonts w:hint="eastAsia" w:ascii="仿宋_GB2312" w:hAnsi="仿宋_GB2312"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en" w:eastAsia="zh-CN" w:bidi="ar-SA"/>
        </w:rPr>
        <w:t>年1月1日起。</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三、政策措施内容</w:t>
      </w:r>
    </w:p>
    <w:p>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90" w:lineRule="exact"/>
        <w:ind w:left="0" w:right="0"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自2016年1月1日起，保险公司按下列规定缴纳的保险保障基金，准予据实税前扣除：1.非投资型财产保险业务，不得超过保费收入的0.8%；投资型财产保险业务，有保证收益的，不得超过业务收入的0.08%，无保证收益的，不得超过业务收入的0.05%。2.有保证收益的人寿保险业务，不得超过业务收入的0.15%；无保证收益的人寿保险业务，不得超过业务收入的0.05%。3.短期健康保险业务，不得超过保费收入的0.8%；长期健康保险业务，不得超过保费收入的0.15%。4.非投资型意外伤害保险业务，不得超过保费收入的0.8%；投资型意外伤害保险业务，有保证收益的，不得超过业务收入的0.08%，无保证收益的，不得超过业务收入的0.05%。　</w:t>
      </w:r>
    </w:p>
    <w:p>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90" w:lineRule="exact"/>
        <w:ind w:left="0" w:right="0"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保险公司按国务院财政部门的相关规定提取的未到期责任准备金、寿险责任准备金、长期健康险责任准备金、已发生已报案未决赔款准备金和已发生未报案未决赔款准备金，准予在税前扣除　。</w:t>
      </w:r>
    </w:p>
    <w:p>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90" w:lineRule="exact"/>
        <w:ind w:left="0" w:right="0"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保险公司经营财政给予保费补贴的农业保险，按不超过财政部门规定的农业保险大灾风险准备金（简称大灾准备金）计提比例，计提的大灾准备金，准予在企业所得税前据实扣除</w:t>
      </w:r>
    </w:p>
    <w:p>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90" w:lineRule="exact"/>
        <w:ind w:left="0" w:right="0"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保险公司实际发生的各种保险赔款、给付，应首先冲抵按规定提取的准备金，不足冲抵部分，准予在当年税前扣除。</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四、申报办理流程</w:t>
      </w: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可通过办税服务厅（场所）、电子税务局办理。</w:t>
      </w: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bookmarkStart w:id="71" w:name="_Toc6096"/>
      <w:r>
        <w:rPr>
          <w:rFonts w:hint="eastAsia" w:ascii="方正小标宋简体" w:hAnsi="方正小标宋简体" w:eastAsia="方正小标宋简体" w:cs="方正小标宋简体"/>
          <w:b w:val="0"/>
          <w:bCs w:val="0"/>
          <w:sz w:val="36"/>
          <w:szCs w:val="36"/>
          <w:lang w:val="en-US" w:eastAsia="zh-CN"/>
        </w:rPr>
        <w:t>中小企业融资(信用)担保机构有关准备金企业所得税</w:t>
      </w:r>
      <w:bookmarkEnd w:id="71"/>
    </w:p>
    <w:p>
      <w:pPr>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center"/>
        <w:textAlignment w:val="auto"/>
        <w:outlineLvl w:val="1"/>
        <w:rPr>
          <w:rFonts w:hint="eastAsia" w:ascii="方正小标宋简体" w:hAnsi="方正小标宋简体" w:eastAsia="方正小标宋简体" w:cs="方正小标宋简体"/>
          <w:b w:val="0"/>
          <w:bCs w:val="0"/>
          <w:sz w:val="36"/>
          <w:szCs w:val="36"/>
          <w:lang w:val="en-US" w:eastAsia="zh-CN"/>
        </w:rPr>
      </w:pPr>
      <w:bookmarkStart w:id="72" w:name="_Toc26816"/>
      <w:bookmarkStart w:id="73" w:name="_Toc21695"/>
      <w:r>
        <w:rPr>
          <w:rFonts w:hint="eastAsia" w:ascii="方正小标宋简体" w:hAnsi="方正小标宋简体" w:eastAsia="方正小标宋简体" w:cs="方正小标宋简体"/>
          <w:b w:val="0"/>
          <w:bCs w:val="0"/>
          <w:sz w:val="36"/>
          <w:szCs w:val="36"/>
          <w:lang w:val="en-US" w:eastAsia="zh-CN"/>
        </w:rPr>
        <w:t>税前扣除政策</w:t>
      </w:r>
      <w:bookmarkEnd w:id="72"/>
      <w:bookmarkEnd w:id="73"/>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CESI仿宋-GB2312" w:hAnsi="CESI仿宋-GB2312" w:eastAsia="CESI仿宋-GB2312" w:cs="CESI仿宋-GB2312"/>
          <w:sz w:val="32"/>
          <w:szCs w:val="32"/>
          <w:lang w:val="en-US" w:eastAsia="zh-CN"/>
        </w:rPr>
      </w:pPr>
      <w:r>
        <w:rPr>
          <w:rFonts w:hint="eastAsia" w:ascii="Times New Roman" w:hAnsi="Times New Roman" w:eastAsia="黑体" w:cs="Times New Roman"/>
          <w:color w:val="auto"/>
          <w:kern w:val="2"/>
          <w:sz w:val="32"/>
          <w:szCs w:val="32"/>
          <w:lang w:val="en-US" w:eastAsia="zh-CN" w:bidi="ar-SA"/>
        </w:rPr>
        <w:t>一、服务对象和范围</w:t>
      </w:r>
    </w:p>
    <w:p>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590" w:lineRule="exact"/>
        <w:ind w:left="0" w:right="0"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中小企业融资(信用)担保机构。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val="en-US" w:eastAsia="zh-CN"/>
        </w:rPr>
        <w:t>二</w:t>
      </w:r>
      <w:r>
        <w:rPr>
          <w:rFonts w:hint="eastAsia" w:ascii="Times New Roman" w:hAnsi="Times New Roman" w:eastAsia="黑体" w:cs="Times New Roman"/>
          <w:sz w:val="32"/>
          <w:szCs w:val="32"/>
          <w:lang w:eastAsia="zh-CN"/>
        </w:rPr>
        <w:t>、政策依据</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lang w:val="en-US" w:eastAsia="zh-CN"/>
        </w:rPr>
      </w:pPr>
      <w:r>
        <w:rPr>
          <w:rFonts w:hint="eastAsia" w:ascii="仿宋_GB2312" w:hAnsi="仿宋_GB2312" w:eastAsia="仿宋_GB2312" w:cs="仿宋_GB2312"/>
          <w:color w:val="auto"/>
          <w:kern w:val="2"/>
          <w:sz w:val="32"/>
          <w:szCs w:val="32"/>
          <w:highlight w:val="none"/>
          <w:lang w:val="en-US" w:eastAsia="zh-CN" w:bidi="ar-SA"/>
        </w:rPr>
        <w:t>《财政部税务总局关于中小企业融资（信用）担保机构有关准备金企业所得税税前扣除政策的通知》（财税〔2017〕22 号）；《财政部 税务总局关于延长部分税收优惠政策执行期限的公告》（财政部 税务总局公告2021年第6号）。文件有效期：</w:t>
      </w:r>
      <w:r>
        <w:rPr>
          <w:rFonts w:hint="eastAsia" w:ascii="仿宋_GB2312" w:hAnsi="仿宋_GB2312" w:eastAsia="仿宋_GB2312" w:cs="仿宋_GB2312"/>
          <w:color w:val="auto"/>
          <w:kern w:val="2"/>
          <w:sz w:val="32"/>
          <w:szCs w:val="32"/>
          <w:highlight w:val="none"/>
          <w:lang w:val="en" w:eastAsia="zh-CN" w:bidi="ar-SA"/>
        </w:rPr>
        <w:t>自201</w:t>
      </w:r>
      <w:r>
        <w:rPr>
          <w:rFonts w:hint="eastAsia" w:ascii="仿宋_GB2312" w:hAnsi="仿宋_GB2312"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en" w:eastAsia="zh-CN" w:bidi="ar-SA"/>
        </w:rPr>
        <w:t>年1月1日起。</w:t>
      </w:r>
    </w:p>
    <w:p>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三、政策措施内容</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自2016年1月1日，符合条件的中小企业融资(信用)担保机构按照不超过当年年末担保责任余额1%的比例计提的担保赔偿准备，允许在企业所得税税前扣除，同时将上年度计提的担保赔偿准备余额转为当期收入。</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符合条件的中小企业融资(信用)担保机构按照不超过当年担保费收入50%的比例计提的未到期责任准备，允许在企业所得税税前扣除，同时将上年度计提的未到期责任准备余额转为当期收入。</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中小企业融资(信用)担保机构实际发生的代偿损失，符合税收法律法规关于资产损失税前扣除政策规定的，应冲减已在税前扣除的担保赔偿准备，不足冲减部分据实在企业所得税税前扣除</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黑体" w:cs="Times New Roman"/>
          <w:color w:val="auto"/>
          <w:kern w:val="2"/>
          <w:sz w:val="32"/>
          <w:szCs w:val="32"/>
          <w:lang w:val="en-US" w:eastAsia="zh-CN" w:bidi="ar-SA"/>
        </w:rPr>
      </w:pPr>
      <w:r>
        <w:rPr>
          <w:rFonts w:hint="eastAsia" w:ascii="Times New Roman" w:hAnsi="Times New Roman" w:eastAsia="黑体" w:cs="Times New Roman"/>
          <w:color w:val="auto"/>
          <w:kern w:val="2"/>
          <w:sz w:val="32"/>
          <w:szCs w:val="32"/>
          <w:lang w:val="en-US" w:eastAsia="zh-CN" w:bidi="ar-SA"/>
        </w:rPr>
        <w:t>四、申报办理流程</w:t>
      </w: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可通过办税服务厅（场所）、电子税务局办理。</w:t>
      </w: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autoSpaceDN/>
        <w:bidi w:val="0"/>
        <w:spacing w:line="590" w:lineRule="exact"/>
        <w:textAlignment w:val="auto"/>
        <w:rPr>
          <w:rFonts w:hint="eastAsia" w:ascii="仿宋_GB2312" w:hAnsi="仿宋_GB2312" w:eastAsia="仿宋_GB2312" w:cs="仿宋_GB2312"/>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仿宋_GB2312" w:hAnsi="仿宋_GB2312" w:eastAsia="仿宋_GB2312" w:cs="仿宋_GB2312"/>
          <w:color w:val="auto"/>
          <w:kern w:val="2"/>
          <w:sz w:val="32"/>
          <w:szCs w:val="32"/>
          <w:lang w:val="en-US" w:eastAsia="zh-CN" w:bidi="ar-SA"/>
        </w:rPr>
        <w:sectPr>
          <w:pgSz w:w="11906" w:h="16838"/>
          <w:pgMar w:top="1587" w:right="1474" w:bottom="147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textAlignment w:val="auto"/>
        <w:rPr>
          <w:rFonts w:hint="eastAsia" w:ascii="仿宋_GB2312" w:hAnsi="仿宋_GB2312" w:eastAsia="仿宋_GB2312" w:cs="仿宋_GB2312"/>
          <w:color w:val="auto"/>
          <w:kern w:val="2"/>
          <w:sz w:val="32"/>
          <w:szCs w:val="32"/>
          <w:lang w:val="en-US" w:eastAsia="zh-CN" w:bidi="ar-SA"/>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5E03664D-15A2-40C7-A9A0-472E1909986E}"/>
  </w:font>
  <w:font w:name="黑体">
    <w:panose1 w:val="02010609060101010101"/>
    <w:charset w:val="86"/>
    <w:family w:val="auto"/>
    <w:pitch w:val="default"/>
    <w:sig w:usb0="800002BF" w:usb1="38CF7CFA" w:usb2="00000016" w:usb3="00000000" w:csb0="00040001" w:csb1="00000000"/>
    <w:embedRegular r:id="rId2" w:fontKey="{C844D2B9-DBA3-40EA-912C-38F39BF88FF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19656646-3B63-4C52-8835-7EACD4805DA5}"/>
  </w:font>
  <w:font w:name="仿宋">
    <w:panose1 w:val="02010609060101010101"/>
    <w:charset w:val="86"/>
    <w:family w:val="modern"/>
    <w:pitch w:val="default"/>
    <w:sig w:usb0="800002BF" w:usb1="38CF7CFA" w:usb2="00000016" w:usb3="00000000" w:csb0="00040001" w:csb1="00000000"/>
    <w:embedRegular r:id="rId4" w:fontKey="{BE96D664-3C14-41BC-9C5C-45C0D3113C47}"/>
  </w:font>
  <w:font w:name="Calibri Light">
    <w:panose1 w:val="020F0302020204030204"/>
    <w:charset w:val="00"/>
    <w:family w:val="swiss"/>
    <w:pitch w:val="default"/>
    <w:sig w:usb0="A00002EF" w:usb1="4000207B" w:usb2="00000000" w:usb3="00000000" w:csb0="2000019F" w:csb1="00000000"/>
  </w:font>
  <w:font w:name="Verdana">
    <w:panose1 w:val="020B0604030504040204"/>
    <w:charset w:val="00"/>
    <w:family w:val="swiss"/>
    <w:pitch w:val="default"/>
    <w:sig w:usb0="A10006FF" w:usb1="4000205B" w:usb2="00000010" w:usb3="00000000" w:csb0="2000019F" w:csb1="00000000"/>
  </w:font>
  <w:font w:name="方正小标宋简体">
    <w:panose1 w:val="03000509000000000000"/>
    <w:charset w:val="86"/>
    <w:family w:val="auto"/>
    <w:pitch w:val="default"/>
    <w:sig w:usb0="00000001" w:usb1="080E0000" w:usb2="00000000" w:usb3="00000000" w:csb0="00040000" w:csb1="00000000"/>
    <w:embedRegular r:id="rId5" w:fontKey="{7538DD6B-1D96-4B65-A03D-82D656D0C92C}"/>
  </w:font>
  <w:font w:name="等线">
    <w:altName w:val="微软雅黑"/>
    <w:panose1 w:val="02010600030101010101"/>
    <w:charset w:val="86"/>
    <w:family w:val="auto"/>
    <w:pitch w:val="default"/>
    <w:sig w:usb0="00000000" w:usb1="00000000" w:usb2="00000016" w:usb3="00000000" w:csb0="0004000F" w:csb1="00000000"/>
    <w:embedRegular r:id="rId6" w:fontKey="{4CC28BD9-A2DE-4B30-8171-594FD2A29B58}"/>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7" w:fontKey="{CA927EAC-FA1F-4EC2-B7A3-5F146847ACA2}"/>
  </w:font>
  <w:font w:name="楷体">
    <w:panose1 w:val="02010609060101010101"/>
    <w:charset w:val="86"/>
    <w:family w:val="modern"/>
    <w:pitch w:val="default"/>
    <w:sig w:usb0="800002BF" w:usb1="38CF7CFA" w:usb2="00000016" w:usb3="00000000" w:csb0="00040001" w:csb1="00000000"/>
    <w:embedRegular r:id="rId8" w:fontKey="{8A64EB57-49DF-4E68-8AFA-0A2C2C4DFE86}"/>
  </w:font>
  <w:font w:name="CESI仿宋-GB2312">
    <w:altName w:val="仿宋"/>
    <w:panose1 w:val="02000500000000000000"/>
    <w:charset w:val="86"/>
    <w:family w:val="auto"/>
    <w:pitch w:val="default"/>
    <w:sig w:usb0="00000000" w:usb1="00000000" w:usb2="00000010" w:usb3="00000000" w:csb0="0004000F" w:csb1="00000000"/>
    <w:embedRegular r:id="rId9" w:fontKey="{9C25FCCA-29C3-4CA4-A05E-EC961A8C9236}"/>
  </w:font>
  <w:font w:name="CESI楷体-GB2312">
    <w:altName w:val="楷体_GB2312"/>
    <w:panose1 w:val="02000500000000000000"/>
    <w:charset w:val="86"/>
    <w:family w:val="auto"/>
    <w:pitch w:val="default"/>
    <w:sig w:usb0="00000000" w:usb1="00000000" w:usb2="00000012" w:usb3="00000000" w:csb0="0004000F" w:csb1="00000000"/>
    <w:embedRegular r:id="rId10" w:fontKey="{8F6826DE-B781-47AD-BD22-F074F09AD702}"/>
  </w:font>
  <w:font w:name="楷体_GB2312">
    <w:panose1 w:val="02010609030101010101"/>
    <w:charset w:val="86"/>
    <w:family w:val="auto"/>
    <w:pitch w:val="default"/>
    <w:sig w:usb0="00000001" w:usb1="080E0000" w:usb2="00000000" w:usb3="00000000" w:csb0="00040000" w:csb1="00000000"/>
    <w:embedRegular r:id="rId11" w:fontKey="{DDA78E77-BFEA-4C62-9CE6-88356230F48E}"/>
  </w:font>
  <w:font w:name="CESI黑体-GB2312">
    <w:altName w:val="黑体"/>
    <w:panose1 w:val="02000500000000000000"/>
    <w:charset w:val="86"/>
    <w:family w:val="auto"/>
    <w:pitch w:val="default"/>
    <w:sig w:usb0="00000000" w:usb1="00000000" w:usb2="00000012" w:usb3="00000000" w:csb0="0004000F" w:csb1="00000000"/>
    <w:embedRegular r:id="rId12" w:fontKey="{F83DD78C-A809-4A7F-94FA-39B5EDCEFD9D}"/>
  </w:font>
  <w:font w:name="方正仿宋_GBK">
    <w:altName w:val="微软雅黑"/>
    <w:panose1 w:val="02000000000000000000"/>
    <w:charset w:val="86"/>
    <w:family w:val="auto"/>
    <w:pitch w:val="default"/>
    <w:sig w:usb0="00000000" w:usb1="00000000" w:usb2="00000000" w:usb3="00000000" w:csb0="00040000" w:csb1="00000000"/>
    <w:embedRegular r:id="rId13" w:fontKey="{938DAB0C-032D-41FD-A8D7-097439E0E482}"/>
  </w:font>
  <w:font w:name="方正黑体_GBK">
    <w:altName w:val="微软雅黑"/>
    <w:panose1 w:val="02000000000000000000"/>
    <w:charset w:val="86"/>
    <w:family w:val="auto"/>
    <w:pitch w:val="default"/>
    <w:sig w:usb0="00000000" w:usb1="00000000" w:usb2="00000000" w:usb3="00000000" w:csb0="00040000" w:csb1="00000000"/>
    <w:embedRegular r:id="rId14" w:fontKey="{C53B8338-091A-43B2-8C3C-00B16606C62C}"/>
  </w:font>
  <w:font w:name="方正仿宋_GB2312">
    <w:altName w:val="仿宋"/>
    <w:panose1 w:val="02000000000000000000"/>
    <w:charset w:val="86"/>
    <w:family w:val="auto"/>
    <w:pitch w:val="default"/>
    <w:sig w:usb0="00000000" w:usb1="00000000" w:usb2="00000012" w:usb3="00000000" w:csb0="00040001" w:csb1="00000000"/>
    <w:embedRegular r:id="rId15" w:fontKey="{38318D9B-E13C-4EF5-82BF-E6C2AF8A11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80"/>
      <w:jc w:val="center"/>
      <w:rPr>
        <w:sz w:val="24"/>
        <w:szCs w:val="4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80"/>
      <w:jc w:val="center"/>
      <w:rPr>
        <w:sz w:val="24"/>
        <w:szCs w:val="4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80"/>
      <w:jc w:val="center"/>
      <w:rPr>
        <w:sz w:val="24"/>
        <w:szCs w:val="40"/>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42" w:lineRule="auto"/>
      <w:ind w:left="3989"/>
      <w:rPr>
        <w:rFonts w:ascii="仿宋" w:hAnsi="仿宋" w:eastAsia="仿宋" w:cs="仿宋"/>
        <w:sz w:val="29"/>
        <w:szCs w:val="29"/>
      </w:rPr>
    </w:pPr>
    <w:r>
      <w:rPr>
        <w:sz w:val="29"/>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42" w:lineRule="auto"/>
      <w:ind w:left="4008"/>
      <w:rPr>
        <w:rFonts w:ascii="仿宋" w:hAnsi="仿宋" w:eastAsia="仿宋" w:cs="仿宋"/>
        <w:sz w:val="29"/>
        <w:szCs w:val="29"/>
      </w:rPr>
    </w:pPr>
    <w:r>
      <w:rPr>
        <w:sz w:val="2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322"/>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jc w:val="right"/>
      <w:rPr>
        <w:rFonts w:ascii="宋体" w:hAnsi="宋体" w:eastAsia="宋体" w:cs="宋体"/>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42" w:lineRule="auto"/>
      <w:ind w:left="7649"/>
      <w:rPr>
        <w:rFonts w:ascii="仿宋" w:hAnsi="仿宋" w:eastAsia="仿宋" w:cs="仿宋"/>
        <w:sz w:val="26"/>
        <w:szCs w:val="26"/>
      </w:rPr>
    </w:pPr>
    <w:r>
      <w:rPr>
        <w:sz w:val="26"/>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EC69AD"/>
    <w:multiLevelType w:val="singleLevel"/>
    <w:tmpl w:val="91EC69AD"/>
    <w:lvl w:ilvl="0" w:tentative="0">
      <w:start w:val="1"/>
      <w:numFmt w:val="chineseCounting"/>
      <w:suff w:val="nothing"/>
      <w:lvlText w:val="（%1）"/>
      <w:lvlJc w:val="left"/>
      <w:rPr>
        <w:rFonts w:hint="eastAsia"/>
      </w:rPr>
    </w:lvl>
  </w:abstractNum>
  <w:abstractNum w:abstractNumId="1">
    <w:nsid w:val="DFFED197"/>
    <w:multiLevelType w:val="singleLevel"/>
    <w:tmpl w:val="DFFED197"/>
    <w:lvl w:ilvl="0" w:tentative="0">
      <w:start w:val="2"/>
      <w:numFmt w:val="chineseCounting"/>
      <w:suff w:val="nothing"/>
      <w:lvlText w:val="（%1）"/>
      <w:lvlJc w:val="left"/>
      <w:rPr>
        <w:rFonts w:hint="eastAsia"/>
      </w:rPr>
    </w:lvl>
  </w:abstractNum>
  <w:abstractNum w:abstractNumId="2">
    <w:nsid w:val="FB6D2266"/>
    <w:multiLevelType w:val="singleLevel"/>
    <w:tmpl w:val="FB6D2266"/>
    <w:lvl w:ilvl="0" w:tentative="0">
      <w:start w:val="3"/>
      <w:numFmt w:val="chineseCounting"/>
      <w:suff w:val="nothing"/>
      <w:lvlText w:val="%1、"/>
      <w:lvlJc w:val="left"/>
      <w:rPr>
        <w:rFonts w:hint="eastAsia"/>
      </w:rPr>
    </w:lvl>
  </w:abstractNum>
  <w:abstractNum w:abstractNumId="3">
    <w:nsid w:val="5E07616C"/>
    <w:multiLevelType w:val="singleLevel"/>
    <w:tmpl w:val="5E07616C"/>
    <w:lvl w:ilvl="0" w:tentative="0">
      <w:start w:val="4"/>
      <w:numFmt w:val="chineseCounting"/>
      <w:suff w:val="nothing"/>
      <w:lvlText w:val="%1、"/>
      <w:lvlJc w:val="left"/>
      <w:rPr>
        <w:rFonts w:hint="eastAsia"/>
      </w:rPr>
    </w:lvl>
  </w:abstractNum>
  <w:abstractNum w:abstractNumId="4">
    <w:nsid w:val="7CFB299F"/>
    <w:multiLevelType w:val="singleLevel"/>
    <w:tmpl w:val="7CFB299F"/>
    <w:lvl w:ilvl="0" w:tentative="0">
      <w:start w:val="2"/>
      <w:numFmt w:val="chineseCounting"/>
      <w:suff w:val="nothing"/>
      <w:lvlText w:val="%1、"/>
      <w:lvlJc w:val="left"/>
      <w:rPr>
        <w:rFonts w:hint="eastAsia"/>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wODk4MjVkZGRhMDVmMTg4ZTc1MjMyMDI1ODdkMjAifQ=="/>
  </w:docVars>
  <w:rsids>
    <w:rsidRoot w:val="219B2DB3"/>
    <w:rsid w:val="0000170B"/>
    <w:rsid w:val="00002EA8"/>
    <w:rsid w:val="000053B1"/>
    <w:rsid w:val="00006905"/>
    <w:rsid w:val="000117BD"/>
    <w:rsid w:val="000148D2"/>
    <w:rsid w:val="00021F25"/>
    <w:rsid w:val="0002306E"/>
    <w:rsid w:val="00023456"/>
    <w:rsid w:val="00024DF9"/>
    <w:rsid w:val="00034937"/>
    <w:rsid w:val="00035590"/>
    <w:rsid w:val="00037572"/>
    <w:rsid w:val="000408BE"/>
    <w:rsid w:val="00050CAD"/>
    <w:rsid w:val="000512A2"/>
    <w:rsid w:val="0005355D"/>
    <w:rsid w:val="000552D3"/>
    <w:rsid w:val="00055D91"/>
    <w:rsid w:val="00056C47"/>
    <w:rsid w:val="00066798"/>
    <w:rsid w:val="00070717"/>
    <w:rsid w:val="000710CE"/>
    <w:rsid w:val="00073834"/>
    <w:rsid w:val="00074D85"/>
    <w:rsid w:val="00076AB1"/>
    <w:rsid w:val="00077330"/>
    <w:rsid w:val="00085AB0"/>
    <w:rsid w:val="00087A4D"/>
    <w:rsid w:val="00090975"/>
    <w:rsid w:val="00091A75"/>
    <w:rsid w:val="000949B5"/>
    <w:rsid w:val="000A019C"/>
    <w:rsid w:val="000A1DBB"/>
    <w:rsid w:val="000A444D"/>
    <w:rsid w:val="000A5CA9"/>
    <w:rsid w:val="000A740B"/>
    <w:rsid w:val="000B4290"/>
    <w:rsid w:val="000B4291"/>
    <w:rsid w:val="000C0D0E"/>
    <w:rsid w:val="000C2585"/>
    <w:rsid w:val="000C3E22"/>
    <w:rsid w:val="000C42A6"/>
    <w:rsid w:val="000C49C0"/>
    <w:rsid w:val="000C6E53"/>
    <w:rsid w:val="000D14C0"/>
    <w:rsid w:val="000D2527"/>
    <w:rsid w:val="000D56FA"/>
    <w:rsid w:val="000D7049"/>
    <w:rsid w:val="000E1158"/>
    <w:rsid w:val="000E1C7D"/>
    <w:rsid w:val="000E28BD"/>
    <w:rsid w:val="000E5469"/>
    <w:rsid w:val="000F6716"/>
    <w:rsid w:val="00100F3F"/>
    <w:rsid w:val="00103651"/>
    <w:rsid w:val="00110776"/>
    <w:rsid w:val="001202F0"/>
    <w:rsid w:val="001262CA"/>
    <w:rsid w:val="0013110A"/>
    <w:rsid w:val="00132393"/>
    <w:rsid w:val="001325FA"/>
    <w:rsid w:val="00132A57"/>
    <w:rsid w:val="00132D3B"/>
    <w:rsid w:val="001334F5"/>
    <w:rsid w:val="00136214"/>
    <w:rsid w:val="00137909"/>
    <w:rsid w:val="00142729"/>
    <w:rsid w:val="00145962"/>
    <w:rsid w:val="00147B56"/>
    <w:rsid w:val="00151639"/>
    <w:rsid w:val="001534E9"/>
    <w:rsid w:val="0015537E"/>
    <w:rsid w:val="0015580D"/>
    <w:rsid w:val="00157B74"/>
    <w:rsid w:val="00162D78"/>
    <w:rsid w:val="0016627B"/>
    <w:rsid w:val="001678DA"/>
    <w:rsid w:val="001723E3"/>
    <w:rsid w:val="001740D9"/>
    <w:rsid w:val="00181142"/>
    <w:rsid w:val="0018122A"/>
    <w:rsid w:val="00181430"/>
    <w:rsid w:val="00181738"/>
    <w:rsid w:val="00182E87"/>
    <w:rsid w:val="00190524"/>
    <w:rsid w:val="00190F6F"/>
    <w:rsid w:val="00192152"/>
    <w:rsid w:val="0019421A"/>
    <w:rsid w:val="00196986"/>
    <w:rsid w:val="001A0139"/>
    <w:rsid w:val="001A05DC"/>
    <w:rsid w:val="001A51DE"/>
    <w:rsid w:val="001B2656"/>
    <w:rsid w:val="001B6820"/>
    <w:rsid w:val="001C17A5"/>
    <w:rsid w:val="001C4067"/>
    <w:rsid w:val="001C5450"/>
    <w:rsid w:val="001C5690"/>
    <w:rsid w:val="001D36C8"/>
    <w:rsid w:val="001D546E"/>
    <w:rsid w:val="001D65E5"/>
    <w:rsid w:val="001E0EBF"/>
    <w:rsid w:val="001E15E9"/>
    <w:rsid w:val="001E69C6"/>
    <w:rsid w:val="001E7E4E"/>
    <w:rsid w:val="001F1CFF"/>
    <w:rsid w:val="001F408C"/>
    <w:rsid w:val="001F42D2"/>
    <w:rsid w:val="001F5844"/>
    <w:rsid w:val="001F7355"/>
    <w:rsid w:val="001F74DC"/>
    <w:rsid w:val="001F7928"/>
    <w:rsid w:val="002001A4"/>
    <w:rsid w:val="002029B7"/>
    <w:rsid w:val="00204272"/>
    <w:rsid w:val="00211A7C"/>
    <w:rsid w:val="0021511A"/>
    <w:rsid w:val="00215FB7"/>
    <w:rsid w:val="00217FAA"/>
    <w:rsid w:val="00220B04"/>
    <w:rsid w:val="00224574"/>
    <w:rsid w:val="00225DEF"/>
    <w:rsid w:val="0022622C"/>
    <w:rsid w:val="00230E24"/>
    <w:rsid w:val="00232E4D"/>
    <w:rsid w:val="00236CE8"/>
    <w:rsid w:val="00241269"/>
    <w:rsid w:val="002423E5"/>
    <w:rsid w:val="00243FE6"/>
    <w:rsid w:val="00253243"/>
    <w:rsid w:val="00264D0F"/>
    <w:rsid w:val="002656D5"/>
    <w:rsid w:val="00266451"/>
    <w:rsid w:val="00267AF1"/>
    <w:rsid w:val="00277527"/>
    <w:rsid w:val="002923EA"/>
    <w:rsid w:val="002939FF"/>
    <w:rsid w:val="00296EAF"/>
    <w:rsid w:val="002A2E14"/>
    <w:rsid w:val="002A401A"/>
    <w:rsid w:val="002B08CF"/>
    <w:rsid w:val="002B6A3E"/>
    <w:rsid w:val="002B7966"/>
    <w:rsid w:val="002B7C19"/>
    <w:rsid w:val="002C11BD"/>
    <w:rsid w:val="002C1D8E"/>
    <w:rsid w:val="002C783A"/>
    <w:rsid w:val="002D3A94"/>
    <w:rsid w:val="002D3D25"/>
    <w:rsid w:val="002D6B77"/>
    <w:rsid w:val="002E21F5"/>
    <w:rsid w:val="002E2469"/>
    <w:rsid w:val="002E36E3"/>
    <w:rsid w:val="002E5D36"/>
    <w:rsid w:val="002F0D9E"/>
    <w:rsid w:val="002F43E8"/>
    <w:rsid w:val="002F6D49"/>
    <w:rsid w:val="002F7AA2"/>
    <w:rsid w:val="002F7BB5"/>
    <w:rsid w:val="00301C1C"/>
    <w:rsid w:val="00306C14"/>
    <w:rsid w:val="00310092"/>
    <w:rsid w:val="00311D00"/>
    <w:rsid w:val="00313D9B"/>
    <w:rsid w:val="003164A7"/>
    <w:rsid w:val="003177E9"/>
    <w:rsid w:val="00317A50"/>
    <w:rsid w:val="00320893"/>
    <w:rsid w:val="00322325"/>
    <w:rsid w:val="00327550"/>
    <w:rsid w:val="00330D60"/>
    <w:rsid w:val="00331164"/>
    <w:rsid w:val="00333C43"/>
    <w:rsid w:val="0033423B"/>
    <w:rsid w:val="003406C1"/>
    <w:rsid w:val="00340DB7"/>
    <w:rsid w:val="00342BDA"/>
    <w:rsid w:val="00361F86"/>
    <w:rsid w:val="00362DB8"/>
    <w:rsid w:val="00363D5B"/>
    <w:rsid w:val="00367413"/>
    <w:rsid w:val="00370549"/>
    <w:rsid w:val="00370C34"/>
    <w:rsid w:val="00371427"/>
    <w:rsid w:val="00371CBA"/>
    <w:rsid w:val="003734B0"/>
    <w:rsid w:val="0038034A"/>
    <w:rsid w:val="0038330C"/>
    <w:rsid w:val="0039172C"/>
    <w:rsid w:val="00395B1C"/>
    <w:rsid w:val="00397425"/>
    <w:rsid w:val="003A1B91"/>
    <w:rsid w:val="003A5FC9"/>
    <w:rsid w:val="003B7888"/>
    <w:rsid w:val="003C4504"/>
    <w:rsid w:val="003C5604"/>
    <w:rsid w:val="003F0039"/>
    <w:rsid w:val="003F06A1"/>
    <w:rsid w:val="003F205D"/>
    <w:rsid w:val="0040508A"/>
    <w:rsid w:val="0040590A"/>
    <w:rsid w:val="004109A5"/>
    <w:rsid w:val="00411DCD"/>
    <w:rsid w:val="004135D7"/>
    <w:rsid w:val="0041458C"/>
    <w:rsid w:val="00414978"/>
    <w:rsid w:val="0041497A"/>
    <w:rsid w:val="00422072"/>
    <w:rsid w:val="0042486E"/>
    <w:rsid w:val="00425E3E"/>
    <w:rsid w:val="004262EB"/>
    <w:rsid w:val="0042788A"/>
    <w:rsid w:val="0043755D"/>
    <w:rsid w:val="0044540B"/>
    <w:rsid w:val="0045141A"/>
    <w:rsid w:val="004539A9"/>
    <w:rsid w:val="00453B6C"/>
    <w:rsid w:val="004550FD"/>
    <w:rsid w:val="00455686"/>
    <w:rsid w:val="004570F3"/>
    <w:rsid w:val="004574B7"/>
    <w:rsid w:val="00463E7A"/>
    <w:rsid w:val="0046442E"/>
    <w:rsid w:val="00471F28"/>
    <w:rsid w:val="00472259"/>
    <w:rsid w:val="00475888"/>
    <w:rsid w:val="00480426"/>
    <w:rsid w:val="0048127F"/>
    <w:rsid w:val="00493635"/>
    <w:rsid w:val="00495BD8"/>
    <w:rsid w:val="004A2B1E"/>
    <w:rsid w:val="004A483A"/>
    <w:rsid w:val="004A4842"/>
    <w:rsid w:val="004A4A8A"/>
    <w:rsid w:val="004A63BF"/>
    <w:rsid w:val="004B236B"/>
    <w:rsid w:val="004C0A65"/>
    <w:rsid w:val="004C1289"/>
    <w:rsid w:val="004C494D"/>
    <w:rsid w:val="004C4A6F"/>
    <w:rsid w:val="004D2B07"/>
    <w:rsid w:val="004D5EAB"/>
    <w:rsid w:val="004D7F1D"/>
    <w:rsid w:val="004E0284"/>
    <w:rsid w:val="004E41CC"/>
    <w:rsid w:val="004E4679"/>
    <w:rsid w:val="004F19D5"/>
    <w:rsid w:val="004F19D8"/>
    <w:rsid w:val="004F4778"/>
    <w:rsid w:val="004F490E"/>
    <w:rsid w:val="004F76B4"/>
    <w:rsid w:val="00501673"/>
    <w:rsid w:val="005033C1"/>
    <w:rsid w:val="00504DBA"/>
    <w:rsid w:val="00505B26"/>
    <w:rsid w:val="005063A4"/>
    <w:rsid w:val="00517F07"/>
    <w:rsid w:val="005246D0"/>
    <w:rsid w:val="00534A45"/>
    <w:rsid w:val="00536AF8"/>
    <w:rsid w:val="00541CB4"/>
    <w:rsid w:val="00544F2C"/>
    <w:rsid w:val="0054641E"/>
    <w:rsid w:val="00550595"/>
    <w:rsid w:val="00550F9B"/>
    <w:rsid w:val="00562671"/>
    <w:rsid w:val="00562E85"/>
    <w:rsid w:val="00563E6A"/>
    <w:rsid w:val="00570D77"/>
    <w:rsid w:val="00570E90"/>
    <w:rsid w:val="00573B6E"/>
    <w:rsid w:val="00576F03"/>
    <w:rsid w:val="005811B0"/>
    <w:rsid w:val="005926B7"/>
    <w:rsid w:val="0059758F"/>
    <w:rsid w:val="005A4C05"/>
    <w:rsid w:val="005B086B"/>
    <w:rsid w:val="005B49B2"/>
    <w:rsid w:val="005B5FE2"/>
    <w:rsid w:val="005B7128"/>
    <w:rsid w:val="005C0231"/>
    <w:rsid w:val="005C2057"/>
    <w:rsid w:val="005C6E7F"/>
    <w:rsid w:val="005D0DAE"/>
    <w:rsid w:val="005D0FA9"/>
    <w:rsid w:val="005D1D7F"/>
    <w:rsid w:val="005D7CAE"/>
    <w:rsid w:val="005E0BC0"/>
    <w:rsid w:val="005E2FEF"/>
    <w:rsid w:val="005E4A13"/>
    <w:rsid w:val="005F04DA"/>
    <w:rsid w:val="005F1AB9"/>
    <w:rsid w:val="005F1FD8"/>
    <w:rsid w:val="005F5689"/>
    <w:rsid w:val="005F6123"/>
    <w:rsid w:val="005F6282"/>
    <w:rsid w:val="00604D8F"/>
    <w:rsid w:val="0060628D"/>
    <w:rsid w:val="006106C2"/>
    <w:rsid w:val="00610EED"/>
    <w:rsid w:val="00614C73"/>
    <w:rsid w:val="00616552"/>
    <w:rsid w:val="00620257"/>
    <w:rsid w:val="006367AB"/>
    <w:rsid w:val="00636922"/>
    <w:rsid w:val="00636D44"/>
    <w:rsid w:val="006534DC"/>
    <w:rsid w:val="00653C41"/>
    <w:rsid w:val="00661118"/>
    <w:rsid w:val="00662549"/>
    <w:rsid w:val="0066473D"/>
    <w:rsid w:val="00674D61"/>
    <w:rsid w:val="00676E27"/>
    <w:rsid w:val="00681A3D"/>
    <w:rsid w:val="00682C76"/>
    <w:rsid w:val="00683587"/>
    <w:rsid w:val="00683B05"/>
    <w:rsid w:val="0069086A"/>
    <w:rsid w:val="00691C81"/>
    <w:rsid w:val="00693721"/>
    <w:rsid w:val="0069547B"/>
    <w:rsid w:val="006B1EF4"/>
    <w:rsid w:val="006B3835"/>
    <w:rsid w:val="006B3853"/>
    <w:rsid w:val="006B4FE8"/>
    <w:rsid w:val="006C05C4"/>
    <w:rsid w:val="006C22D2"/>
    <w:rsid w:val="006C6AC8"/>
    <w:rsid w:val="006D2BC9"/>
    <w:rsid w:val="006D2C99"/>
    <w:rsid w:val="006E15BC"/>
    <w:rsid w:val="006E5E58"/>
    <w:rsid w:val="006E61EA"/>
    <w:rsid w:val="006E77B1"/>
    <w:rsid w:val="006E794E"/>
    <w:rsid w:val="006F06C2"/>
    <w:rsid w:val="006F1D6D"/>
    <w:rsid w:val="006F27C3"/>
    <w:rsid w:val="006F3900"/>
    <w:rsid w:val="006F6617"/>
    <w:rsid w:val="0070037B"/>
    <w:rsid w:val="0070162C"/>
    <w:rsid w:val="007027ED"/>
    <w:rsid w:val="00703AAB"/>
    <w:rsid w:val="007043AA"/>
    <w:rsid w:val="00705551"/>
    <w:rsid w:val="0071658F"/>
    <w:rsid w:val="007203DF"/>
    <w:rsid w:val="0073692C"/>
    <w:rsid w:val="00741185"/>
    <w:rsid w:val="00741845"/>
    <w:rsid w:val="00742FA5"/>
    <w:rsid w:val="0075236F"/>
    <w:rsid w:val="0075474A"/>
    <w:rsid w:val="00757D42"/>
    <w:rsid w:val="00764204"/>
    <w:rsid w:val="00765017"/>
    <w:rsid w:val="007653CE"/>
    <w:rsid w:val="00765E66"/>
    <w:rsid w:val="00766A53"/>
    <w:rsid w:val="007712CC"/>
    <w:rsid w:val="00776443"/>
    <w:rsid w:val="0078627A"/>
    <w:rsid w:val="007875BB"/>
    <w:rsid w:val="007938A2"/>
    <w:rsid w:val="00794952"/>
    <w:rsid w:val="00796064"/>
    <w:rsid w:val="007A0AFE"/>
    <w:rsid w:val="007A489A"/>
    <w:rsid w:val="007A5198"/>
    <w:rsid w:val="007B7C2A"/>
    <w:rsid w:val="007D053E"/>
    <w:rsid w:val="007D156E"/>
    <w:rsid w:val="007E2269"/>
    <w:rsid w:val="007E2BD9"/>
    <w:rsid w:val="007E38C3"/>
    <w:rsid w:val="007E39A8"/>
    <w:rsid w:val="007E4299"/>
    <w:rsid w:val="007E4761"/>
    <w:rsid w:val="007F1DB4"/>
    <w:rsid w:val="007F38BE"/>
    <w:rsid w:val="007F390F"/>
    <w:rsid w:val="007F666B"/>
    <w:rsid w:val="007F73FC"/>
    <w:rsid w:val="00800474"/>
    <w:rsid w:val="00806575"/>
    <w:rsid w:val="0081232A"/>
    <w:rsid w:val="00813F28"/>
    <w:rsid w:val="00813F84"/>
    <w:rsid w:val="008140A7"/>
    <w:rsid w:val="008158A4"/>
    <w:rsid w:val="00817C91"/>
    <w:rsid w:val="00822511"/>
    <w:rsid w:val="008227F5"/>
    <w:rsid w:val="00825A77"/>
    <w:rsid w:val="00834ADF"/>
    <w:rsid w:val="008353BB"/>
    <w:rsid w:val="00835B46"/>
    <w:rsid w:val="00837871"/>
    <w:rsid w:val="00837AAA"/>
    <w:rsid w:val="00840CA2"/>
    <w:rsid w:val="00841D0A"/>
    <w:rsid w:val="00851417"/>
    <w:rsid w:val="00851F7D"/>
    <w:rsid w:val="008528A8"/>
    <w:rsid w:val="00853CCA"/>
    <w:rsid w:val="0085596F"/>
    <w:rsid w:val="00861A28"/>
    <w:rsid w:val="0086357D"/>
    <w:rsid w:val="00864067"/>
    <w:rsid w:val="00864346"/>
    <w:rsid w:val="008703AB"/>
    <w:rsid w:val="0087139C"/>
    <w:rsid w:val="00871620"/>
    <w:rsid w:val="0087670C"/>
    <w:rsid w:val="00884662"/>
    <w:rsid w:val="008848EA"/>
    <w:rsid w:val="008923D7"/>
    <w:rsid w:val="008932B4"/>
    <w:rsid w:val="008937AC"/>
    <w:rsid w:val="00897462"/>
    <w:rsid w:val="008A1029"/>
    <w:rsid w:val="008A133D"/>
    <w:rsid w:val="008A1640"/>
    <w:rsid w:val="008A2F39"/>
    <w:rsid w:val="008A67C7"/>
    <w:rsid w:val="008B5B78"/>
    <w:rsid w:val="008D20AA"/>
    <w:rsid w:val="008E4126"/>
    <w:rsid w:val="008E5417"/>
    <w:rsid w:val="008E62DB"/>
    <w:rsid w:val="008E7E1E"/>
    <w:rsid w:val="008F140F"/>
    <w:rsid w:val="00903120"/>
    <w:rsid w:val="00904449"/>
    <w:rsid w:val="009052E4"/>
    <w:rsid w:val="009059E2"/>
    <w:rsid w:val="00907E42"/>
    <w:rsid w:val="00910F50"/>
    <w:rsid w:val="0091447B"/>
    <w:rsid w:val="0092553D"/>
    <w:rsid w:val="00926F4C"/>
    <w:rsid w:val="009274A6"/>
    <w:rsid w:val="00933C17"/>
    <w:rsid w:val="00935720"/>
    <w:rsid w:val="00936E05"/>
    <w:rsid w:val="009436E3"/>
    <w:rsid w:val="00951E1A"/>
    <w:rsid w:val="009540EF"/>
    <w:rsid w:val="00956975"/>
    <w:rsid w:val="00961F0F"/>
    <w:rsid w:val="009704D5"/>
    <w:rsid w:val="00972B63"/>
    <w:rsid w:val="0097551E"/>
    <w:rsid w:val="00975ED7"/>
    <w:rsid w:val="009843F5"/>
    <w:rsid w:val="00990147"/>
    <w:rsid w:val="00993985"/>
    <w:rsid w:val="009949F8"/>
    <w:rsid w:val="00995F9C"/>
    <w:rsid w:val="00996158"/>
    <w:rsid w:val="009A25D9"/>
    <w:rsid w:val="009A3410"/>
    <w:rsid w:val="009C06D0"/>
    <w:rsid w:val="009C3ECA"/>
    <w:rsid w:val="009C7B5E"/>
    <w:rsid w:val="009D15A0"/>
    <w:rsid w:val="009D1E24"/>
    <w:rsid w:val="009D3E26"/>
    <w:rsid w:val="009D4C4A"/>
    <w:rsid w:val="009E36CB"/>
    <w:rsid w:val="009E3A14"/>
    <w:rsid w:val="009E5E7D"/>
    <w:rsid w:val="009E74F6"/>
    <w:rsid w:val="009F15D9"/>
    <w:rsid w:val="009F6F6C"/>
    <w:rsid w:val="00A01179"/>
    <w:rsid w:val="00A2710B"/>
    <w:rsid w:val="00A3208D"/>
    <w:rsid w:val="00A34E3E"/>
    <w:rsid w:val="00A37124"/>
    <w:rsid w:val="00A420DD"/>
    <w:rsid w:val="00A51E00"/>
    <w:rsid w:val="00A53AA5"/>
    <w:rsid w:val="00A54C2C"/>
    <w:rsid w:val="00A5593E"/>
    <w:rsid w:val="00A5594D"/>
    <w:rsid w:val="00A570FB"/>
    <w:rsid w:val="00A62B75"/>
    <w:rsid w:val="00A62B9E"/>
    <w:rsid w:val="00A65F29"/>
    <w:rsid w:val="00A71B71"/>
    <w:rsid w:val="00A82061"/>
    <w:rsid w:val="00A829AF"/>
    <w:rsid w:val="00A84B91"/>
    <w:rsid w:val="00A86BC6"/>
    <w:rsid w:val="00A873A0"/>
    <w:rsid w:val="00A90189"/>
    <w:rsid w:val="00A91ECD"/>
    <w:rsid w:val="00A9580F"/>
    <w:rsid w:val="00AA151C"/>
    <w:rsid w:val="00AA1665"/>
    <w:rsid w:val="00AA2AD1"/>
    <w:rsid w:val="00AB01D7"/>
    <w:rsid w:val="00AB5EC3"/>
    <w:rsid w:val="00AB77E3"/>
    <w:rsid w:val="00AC4532"/>
    <w:rsid w:val="00AD2470"/>
    <w:rsid w:val="00AD32CF"/>
    <w:rsid w:val="00AE0AA1"/>
    <w:rsid w:val="00AE18BD"/>
    <w:rsid w:val="00AE7D7B"/>
    <w:rsid w:val="00B006D1"/>
    <w:rsid w:val="00B013C4"/>
    <w:rsid w:val="00B01922"/>
    <w:rsid w:val="00B022CC"/>
    <w:rsid w:val="00B04F09"/>
    <w:rsid w:val="00B11304"/>
    <w:rsid w:val="00B1227A"/>
    <w:rsid w:val="00B14ACC"/>
    <w:rsid w:val="00B17E93"/>
    <w:rsid w:val="00B22916"/>
    <w:rsid w:val="00B35C91"/>
    <w:rsid w:val="00B406B9"/>
    <w:rsid w:val="00B42BBC"/>
    <w:rsid w:val="00B476B8"/>
    <w:rsid w:val="00B50B47"/>
    <w:rsid w:val="00B52EF3"/>
    <w:rsid w:val="00B57216"/>
    <w:rsid w:val="00B661D8"/>
    <w:rsid w:val="00B7181C"/>
    <w:rsid w:val="00B7340A"/>
    <w:rsid w:val="00B80B37"/>
    <w:rsid w:val="00B815E0"/>
    <w:rsid w:val="00B846A0"/>
    <w:rsid w:val="00B84F6E"/>
    <w:rsid w:val="00B855C5"/>
    <w:rsid w:val="00B8569A"/>
    <w:rsid w:val="00B86ED1"/>
    <w:rsid w:val="00B964E5"/>
    <w:rsid w:val="00BA25C7"/>
    <w:rsid w:val="00BA3343"/>
    <w:rsid w:val="00BA7025"/>
    <w:rsid w:val="00BB23D4"/>
    <w:rsid w:val="00BB49D4"/>
    <w:rsid w:val="00BB5B68"/>
    <w:rsid w:val="00BC00E0"/>
    <w:rsid w:val="00BC27F9"/>
    <w:rsid w:val="00BD08DA"/>
    <w:rsid w:val="00BD13CD"/>
    <w:rsid w:val="00BD56FF"/>
    <w:rsid w:val="00BE4852"/>
    <w:rsid w:val="00BF2296"/>
    <w:rsid w:val="00BF48F9"/>
    <w:rsid w:val="00BF4F8C"/>
    <w:rsid w:val="00C03FCA"/>
    <w:rsid w:val="00C05D9F"/>
    <w:rsid w:val="00C066BF"/>
    <w:rsid w:val="00C07B2E"/>
    <w:rsid w:val="00C11C22"/>
    <w:rsid w:val="00C11E7E"/>
    <w:rsid w:val="00C12ED6"/>
    <w:rsid w:val="00C13C1A"/>
    <w:rsid w:val="00C16CB7"/>
    <w:rsid w:val="00C17FBF"/>
    <w:rsid w:val="00C24846"/>
    <w:rsid w:val="00C27BD2"/>
    <w:rsid w:val="00C32803"/>
    <w:rsid w:val="00C409D9"/>
    <w:rsid w:val="00C44D8D"/>
    <w:rsid w:val="00C46D9C"/>
    <w:rsid w:val="00C54041"/>
    <w:rsid w:val="00C67EB6"/>
    <w:rsid w:val="00C75C78"/>
    <w:rsid w:val="00C8248A"/>
    <w:rsid w:val="00C8780C"/>
    <w:rsid w:val="00C878CF"/>
    <w:rsid w:val="00C9423A"/>
    <w:rsid w:val="00C94E52"/>
    <w:rsid w:val="00C96DCE"/>
    <w:rsid w:val="00CA2C3C"/>
    <w:rsid w:val="00CA6761"/>
    <w:rsid w:val="00CA6D11"/>
    <w:rsid w:val="00CB3794"/>
    <w:rsid w:val="00CC1375"/>
    <w:rsid w:val="00CC1B96"/>
    <w:rsid w:val="00CC277E"/>
    <w:rsid w:val="00CC3381"/>
    <w:rsid w:val="00CD0F54"/>
    <w:rsid w:val="00CD5704"/>
    <w:rsid w:val="00CE0991"/>
    <w:rsid w:val="00CE5459"/>
    <w:rsid w:val="00CE5EB7"/>
    <w:rsid w:val="00D0731C"/>
    <w:rsid w:val="00D07C42"/>
    <w:rsid w:val="00D137DF"/>
    <w:rsid w:val="00D16502"/>
    <w:rsid w:val="00D16889"/>
    <w:rsid w:val="00D20223"/>
    <w:rsid w:val="00D245E2"/>
    <w:rsid w:val="00D24873"/>
    <w:rsid w:val="00D24E9C"/>
    <w:rsid w:val="00D26A94"/>
    <w:rsid w:val="00D30148"/>
    <w:rsid w:val="00D34F3C"/>
    <w:rsid w:val="00D35F28"/>
    <w:rsid w:val="00D36ED6"/>
    <w:rsid w:val="00D40759"/>
    <w:rsid w:val="00D47681"/>
    <w:rsid w:val="00D47FAB"/>
    <w:rsid w:val="00D5220F"/>
    <w:rsid w:val="00D613BF"/>
    <w:rsid w:val="00D656CD"/>
    <w:rsid w:val="00D659A0"/>
    <w:rsid w:val="00D76125"/>
    <w:rsid w:val="00D76FA8"/>
    <w:rsid w:val="00D81BFF"/>
    <w:rsid w:val="00D84C4C"/>
    <w:rsid w:val="00D85043"/>
    <w:rsid w:val="00D927D3"/>
    <w:rsid w:val="00DA14DD"/>
    <w:rsid w:val="00DA16D8"/>
    <w:rsid w:val="00DA5872"/>
    <w:rsid w:val="00DB1A78"/>
    <w:rsid w:val="00DB4E80"/>
    <w:rsid w:val="00DB6868"/>
    <w:rsid w:val="00DB7FE1"/>
    <w:rsid w:val="00DC08FF"/>
    <w:rsid w:val="00DC2443"/>
    <w:rsid w:val="00DC2687"/>
    <w:rsid w:val="00DC47AA"/>
    <w:rsid w:val="00DD7657"/>
    <w:rsid w:val="00DE0FE0"/>
    <w:rsid w:val="00DE28ED"/>
    <w:rsid w:val="00DE6FA8"/>
    <w:rsid w:val="00DF388A"/>
    <w:rsid w:val="00DF3B67"/>
    <w:rsid w:val="00E00F69"/>
    <w:rsid w:val="00E01D2B"/>
    <w:rsid w:val="00E03966"/>
    <w:rsid w:val="00E057D6"/>
    <w:rsid w:val="00E15F40"/>
    <w:rsid w:val="00E169F6"/>
    <w:rsid w:val="00E236DF"/>
    <w:rsid w:val="00E26DE6"/>
    <w:rsid w:val="00E315D1"/>
    <w:rsid w:val="00E3508C"/>
    <w:rsid w:val="00E369CE"/>
    <w:rsid w:val="00E36B66"/>
    <w:rsid w:val="00E405D7"/>
    <w:rsid w:val="00E42870"/>
    <w:rsid w:val="00E4618E"/>
    <w:rsid w:val="00E507E5"/>
    <w:rsid w:val="00E563F5"/>
    <w:rsid w:val="00E5699F"/>
    <w:rsid w:val="00E56DF5"/>
    <w:rsid w:val="00E57DF3"/>
    <w:rsid w:val="00E62485"/>
    <w:rsid w:val="00E62FCB"/>
    <w:rsid w:val="00E63B7E"/>
    <w:rsid w:val="00E65F25"/>
    <w:rsid w:val="00E702BD"/>
    <w:rsid w:val="00E70DBD"/>
    <w:rsid w:val="00E76B4D"/>
    <w:rsid w:val="00E83B40"/>
    <w:rsid w:val="00E85456"/>
    <w:rsid w:val="00E8646F"/>
    <w:rsid w:val="00E876D0"/>
    <w:rsid w:val="00E955B3"/>
    <w:rsid w:val="00E9727F"/>
    <w:rsid w:val="00EA1590"/>
    <w:rsid w:val="00EA2AC0"/>
    <w:rsid w:val="00EA3B2B"/>
    <w:rsid w:val="00EA4965"/>
    <w:rsid w:val="00EA4D7C"/>
    <w:rsid w:val="00EB42B4"/>
    <w:rsid w:val="00EC3094"/>
    <w:rsid w:val="00EC3A18"/>
    <w:rsid w:val="00EC5F1B"/>
    <w:rsid w:val="00ED1F34"/>
    <w:rsid w:val="00ED3040"/>
    <w:rsid w:val="00ED71E3"/>
    <w:rsid w:val="00EE0F4E"/>
    <w:rsid w:val="00EE10A1"/>
    <w:rsid w:val="00EE3004"/>
    <w:rsid w:val="00EE3221"/>
    <w:rsid w:val="00EF36F8"/>
    <w:rsid w:val="00EF378F"/>
    <w:rsid w:val="00EF554D"/>
    <w:rsid w:val="00EF57AC"/>
    <w:rsid w:val="00EF6893"/>
    <w:rsid w:val="00F00EBE"/>
    <w:rsid w:val="00F03198"/>
    <w:rsid w:val="00F104A5"/>
    <w:rsid w:val="00F15937"/>
    <w:rsid w:val="00F15DFC"/>
    <w:rsid w:val="00F1635F"/>
    <w:rsid w:val="00F17D4A"/>
    <w:rsid w:val="00F23484"/>
    <w:rsid w:val="00F27575"/>
    <w:rsid w:val="00F30789"/>
    <w:rsid w:val="00F35118"/>
    <w:rsid w:val="00F41194"/>
    <w:rsid w:val="00F42AD6"/>
    <w:rsid w:val="00F50EAC"/>
    <w:rsid w:val="00F5253F"/>
    <w:rsid w:val="00F53C69"/>
    <w:rsid w:val="00F53DFA"/>
    <w:rsid w:val="00F55A6B"/>
    <w:rsid w:val="00F61CD4"/>
    <w:rsid w:val="00F65F0D"/>
    <w:rsid w:val="00F70580"/>
    <w:rsid w:val="00F77B42"/>
    <w:rsid w:val="00F86C29"/>
    <w:rsid w:val="00F95E24"/>
    <w:rsid w:val="00FA324A"/>
    <w:rsid w:val="00FA41BB"/>
    <w:rsid w:val="00FA4E36"/>
    <w:rsid w:val="00FA5D95"/>
    <w:rsid w:val="00FB3B0F"/>
    <w:rsid w:val="00FB4A23"/>
    <w:rsid w:val="00FB5820"/>
    <w:rsid w:val="00FB7ACC"/>
    <w:rsid w:val="00FB7C13"/>
    <w:rsid w:val="00FC03DF"/>
    <w:rsid w:val="00FC076F"/>
    <w:rsid w:val="00FC1343"/>
    <w:rsid w:val="00FC578D"/>
    <w:rsid w:val="00FD7767"/>
    <w:rsid w:val="00FE02E7"/>
    <w:rsid w:val="00FE1306"/>
    <w:rsid w:val="00FE3000"/>
    <w:rsid w:val="00FE51CB"/>
    <w:rsid w:val="00FE642D"/>
    <w:rsid w:val="00FF00AD"/>
    <w:rsid w:val="00FF11FA"/>
    <w:rsid w:val="00FF16CF"/>
    <w:rsid w:val="00FF42CE"/>
    <w:rsid w:val="00FF520B"/>
    <w:rsid w:val="00FF6FD6"/>
    <w:rsid w:val="00FF7CF0"/>
    <w:rsid w:val="01AB138A"/>
    <w:rsid w:val="03DE01CD"/>
    <w:rsid w:val="07F639FB"/>
    <w:rsid w:val="089808CE"/>
    <w:rsid w:val="09366A91"/>
    <w:rsid w:val="09740B2A"/>
    <w:rsid w:val="097651B6"/>
    <w:rsid w:val="09CD23F1"/>
    <w:rsid w:val="0A6F5F34"/>
    <w:rsid w:val="0A88759D"/>
    <w:rsid w:val="0D564607"/>
    <w:rsid w:val="0F317785"/>
    <w:rsid w:val="10C3255D"/>
    <w:rsid w:val="110E68B0"/>
    <w:rsid w:val="119F6989"/>
    <w:rsid w:val="12C255ED"/>
    <w:rsid w:val="139323BD"/>
    <w:rsid w:val="14F15F19"/>
    <w:rsid w:val="1573026D"/>
    <w:rsid w:val="16074970"/>
    <w:rsid w:val="1758783F"/>
    <w:rsid w:val="17677AB1"/>
    <w:rsid w:val="18C66D91"/>
    <w:rsid w:val="1B4C3D64"/>
    <w:rsid w:val="1B806F1B"/>
    <w:rsid w:val="1BF3D27A"/>
    <w:rsid w:val="1D790876"/>
    <w:rsid w:val="1DD24360"/>
    <w:rsid w:val="1EFFDB18"/>
    <w:rsid w:val="219B2DB3"/>
    <w:rsid w:val="23256A31"/>
    <w:rsid w:val="233E5B61"/>
    <w:rsid w:val="264F55EB"/>
    <w:rsid w:val="267931E7"/>
    <w:rsid w:val="271F49DC"/>
    <w:rsid w:val="27FFDB12"/>
    <w:rsid w:val="2AB24946"/>
    <w:rsid w:val="2F77BF29"/>
    <w:rsid w:val="2FA54BDC"/>
    <w:rsid w:val="31496359"/>
    <w:rsid w:val="32570641"/>
    <w:rsid w:val="33146B4A"/>
    <w:rsid w:val="336E765E"/>
    <w:rsid w:val="34C54848"/>
    <w:rsid w:val="34E640C9"/>
    <w:rsid w:val="36B92132"/>
    <w:rsid w:val="37DD678E"/>
    <w:rsid w:val="38167F86"/>
    <w:rsid w:val="38B13A59"/>
    <w:rsid w:val="39253409"/>
    <w:rsid w:val="39267301"/>
    <w:rsid w:val="3987411D"/>
    <w:rsid w:val="3A46600B"/>
    <w:rsid w:val="3B8002DB"/>
    <w:rsid w:val="3BF30611"/>
    <w:rsid w:val="3EBB6722"/>
    <w:rsid w:val="3EF77300"/>
    <w:rsid w:val="3F1674CF"/>
    <w:rsid w:val="3F5BE4C3"/>
    <w:rsid w:val="3F7F117C"/>
    <w:rsid w:val="3F8C4EE7"/>
    <w:rsid w:val="3FE65F87"/>
    <w:rsid w:val="4230334A"/>
    <w:rsid w:val="454B393C"/>
    <w:rsid w:val="46D30747"/>
    <w:rsid w:val="473674C4"/>
    <w:rsid w:val="48F919B1"/>
    <w:rsid w:val="492139EC"/>
    <w:rsid w:val="4A6F73AE"/>
    <w:rsid w:val="4ABD7744"/>
    <w:rsid w:val="4CF60CEC"/>
    <w:rsid w:val="4D272D9D"/>
    <w:rsid w:val="4E0708F1"/>
    <w:rsid w:val="4E4F0BF9"/>
    <w:rsid w:val="4FAE31B3"/>
    <w:rsid w:val="4FF67ABD"/>
    <w:rsid w:val="4FFF7507"/>
    <w:rsid w:val="513F5357"/>
    <w:rsid w:val="515278C8"/>
    <w:rsid w:val="516F82CA"/>
    <w:rsid w:val="521F2A93"/>
    <w:rsid w:val="537C1280"/>
    <w:rsid w:val="554328BD"/>
    <w:rsid w:val="562C1C22"/>
    <w:rsid w:val="56681065"/>
    <w:rsid w:val="566D5605"/>
    <w:rsid w:val="56AD4B11"/>
    <w:rsid w:val="577F01E0"/>
    <w:rsid w:val="579B0591"/>
    <w:rsid w:val="57DD4D4A"/>
    <w:rsid w:val="58BD6B62"/>
    <w:rsid w:val="59276392"/>
    <w:rsid w:val="5A101B5F"/>
    <w:rsid w:val="5C186E0F"/>
    <w:rsid w:val="5CB43617"/>
    <w:rsid w:val="5CE50B5D"/>
    <w:rsid w:val="5DBEC6C4"/>
    <w:rsid w:val="5EFFC868"/>
    <w:rsid w:val="5FBEF9B2"/>
    <w:rsid w:val="5FC7D85B"/>
    <w:rsid w:val="5FC8476A"/>
    <w:rsid w:val="5FDB5D15"/>
    <w:rsid w:val="60914033"/>
    <w:rsid w:val="61911A65"/>
    <w:rsid w:val="63BBB34D"/>
    <w:rsid w:val="65887F48"/>
    <w:rsid w:val="660E30DC"/>
    <w:rsid w:val="66B07D06"/>
    <w:rsid w:val="688C88D8"/>
    <w:rsid w:val="68C81238"/>
    <w:rsid w:val="69392234"/>
    <w:rsid w:val="696364AF"/>
    <w:rsid w:val="696B3491"/>
    <w:rsid w:val="6982442B"/>
    <w:rsid w:val="69897257"/>
    <w:rsid w:val="6A793230"/>
    <w:rsid w:val="6ABC7372"/>
    <w:rsid w:val="6B400917"/>
    <w:rsid w:val="6B46114A"/>
    <w:rsid w:val="6BBF5D93"/>
    <w:rsid w:val="6C3F4B01"/>
    <w:rsid w:val="6D9A238B"/>
    <w:rsid w:val="6DCC18C9"/>
    <w:rsid w:val="6DEB38D9"/>
    <w:rsid w:val="6E0E6450"/>
    <w:rsid w:val="6E4453A7"/>
    <w:rsid w:val="6EBDE17C"/>
    <w:rsid w:val="6EDE756F"/>
    <w:rsid w:val="6EFE9CA1"/>
    <w:rsid w:val="6F5F4D8A"/>
    <w:rsid w:val="6FA3F702"/>
    <w:rsid w:val="70D273E4"/>
    <w:rsid w:val="71253BB6"/>
    <w:rsid w:val="72134DFA"/>
    <w:rsid w:val="72785879"/>
    <w:rsid w:val="72F36340"/>
    <w:rsid w:val="7517505C"/>
    <w:rsid w:val="75AB524F"/>
    <w:rsid w:val="766B123A"/>
    <w:rsid w:val="766E2CA5"/>
    <w:rsid w:val="77387FCF"/>
    <w:rsid w:val="773A69FA"/>
    <w:rsid w:val="775E6C1A"/>
    <w:rsid w:val="777F27F5"/>
    <w:rsid w:val="77FDECB7"/>
    <w:rsid w:val="77FF8533"/>
    <w:rsid w:val="78007B88"/>
    <w:rsid w:val="7811288A"/>
    <w:rsid w:val="788BEB06"/>
    <w:rsid w:val="79715F73"/>
    <w:rsid w:val="79DF342F"/>
    <w:rsid w:val="7A923E9A"/>
    <w:rsid w:val="7AB72956"/>
    <w:rsid w:val="7ADF90EE"/>
    <w:rsid w:val="7B6DF1F9"/>
    <w:rsid w:val="7B96EAC9"/>
    <w:rsid w:val="7BFB1252"/>
    <w:rsid w:val="7BFB1B03"/>
    <w:rsid w:val="7BFB61C7"/>
    <w:rsid w:val="7CFB2488"/>
    <w:rsid w:val="7DD32F97"/>
    <w:rsid w:val="7E4C0DAD"/>
    <w:rsid w:val="7E5E4333"/>
    <w:rsid w:val="7E6DDA12"/>
    <w:rsid w:val="7E94486E"/>
    <w:rsid w:val="7EF7A01D"/>
    <w:rsid w:val="7EFAD247"/>
    <w:rsid w:val="7F020617"/>
    <w:rsid w:val="7F3F0E44"/>
    <w:rsid w:val="7F5A23E7"/>
    <w:rsid w:val="7F6DBD39"/>
    <w:rsid w:val="7F6F60F0"/>
    <w:rsid w:val="7F7818B1"/>
    <w:rsid w:val="7FB5C6FF"/>
    <w:rsid w:val="7FD7029F"/>
    <w:rsid w:val="7FF293D3"/>
    <w:rsid w:val="7FFF1D21"/>
    <w:rsid w:val="7FFF48B4"/>
    <w:rsid w:val="9E0FBEEC"/>
    <w:rsid w:val="9FB4E4CA"/>
    <w:rsid w:val="9FF5191F"/>
    <w:rsid w:val="A7DFF31E"/>
    <w:rsid w:val="ABFBF365"/>
    <w:rsid w:val="ACCDC625"/>
    <w:rsid w:val="ADEB6F67"/>
    <w:rsid w:val="B2E95CB2"/>
    <w:rsid w:val="B77A62C4"/>
    <w:rsid w:val="B77DED61"/>
    <w:rsid w:val="B7FF05D3"/>
    <w:rsid w:val="B93949FE"/>
    <w:rsid w:val="B9FFA550"/>
    <w:rsid w:val="BA7B0488"/>
    <w:rsid w:val="BBAD4F30"/>
    <w:rsid w:val="BBD8B76D"/>
    <w:rsid w:val="BBF96461"/>
    <w:rsid w:val="BEF51ACD"/>
    <w:rsid w:val="BFD3E834"/>
    <w:rsid w:val="BFE73C74"/>
    <w:rsid w:val="CD9BE019"/>
    <w:rsid w:val="D79FBB4B"/>
    <w:rsid w:val="D7F947F9"/>
    <w:rsid w:val="DCBE13DF"/>
    <w:rsid w:val="DCFE3657"/>
    <w:rsid w:val="DDFEDAB7"/>
    <w:rsid w:val="DE771AE3"/>
    <w:rsid w:val="DEFBD769"/>
    <w:rsid w:val="DF779E61"/>
    <w:rsid w:val="DF9F6210"/>
    <w:rsid w:val="DFA7ED80"/>
    <w:rsid w:val="DFAE4CAC"/>
    <w:rsid w:val="DFE6F684"/>
    <w:rsid w:val="E7DDB141"/>
    <w:rsid w:val="EB7DC359"/>
    <w:rsid w:val="EEF5C57C"/>
    <w:rsid w:val="EF481714"/>
    <w:rsid w:val="EF77B038"/>
    <w:rsid w:val="EFAA1681"/>
    <w:rsid w:val="EFDFF718"/>
    <w:rsid w:val="F3D83D87"/>
    <w:rsid w:val="F55741D3"/>
    <w:rsid w:val="F55F9399"/>
    <w:rsid w:val="F61BACD3"/>
    <w:rsid w:val="F75AB845"/>
    <w:rsid w:val="F77B5EE3"/>
    <w:rsid w:val="FA37EC1E"/>
    <w:rsid w:val="FAFDEB16"/>
    <w:rsid w:val="FBD8E8AC"/>
    <w:rsid w:val="FBDE6778"/>
    <w:rsid w:val="FBFF8098"/>
    <w:rsid w:val="FCA6D926"/>
    <w:rsid w:val="FCBB5B46"/>
    <w:rsid w:val="FDAFDBCF"/>
    <w:rsid w:val="FDC5691B"/>
    <w:rsid w:val="FDE3DADE"/>
    <w:rsid w:val="FDFB8052"/>
    <w:rsid w:val="FEE79A89"/>
    <w:rsid w:val="FEF78223"/>
    <w:rsid w:val="FEF91A45"/>
    <w:rsid w:val="FF362011"/>
    <w:rsid w:val="FF77B613"/>
    <w:rsid w:val="FF7F6331"/>
    <w:rsid w:val="FFB7C715"/>
    <w:rsid w:val="FFBBB5E4"/>
    <w:rsid w:val="FFE12BF5"/>
    <w:rsid w:val="FFEF8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nhideWhenUsed="0" w:uiPriority="0" w:semiHidden="0" w:name="FollowedHyperlink"/>
    <w:lsdException w:qFormat="1" w:unhideWhenUsed="0" w:uiPriority="22" w:semiHidden="0" w:name="Strong"/>
    <w:lsdException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640" w:firstLineChars="200"/>
      <w:jc w:val="both"/>
    </w:pPr>
    <w:rPr>
      <w:rFonts w:ascii="仿宋" w:hAnsi="仿宋" w:eastAsia="仿宋" w:cstheme="minorBidi"/>
      <w:kern w:val="2"/>
      <w:sz w:val="32"/>
      <w:szCs w:val="24"/>
      <w:lang w:val="en-US" w:eastAsia="zh-CN" w:bidi="ar-SA"/>
    </w:rPr>
  </w:style>
  <w:style w:type="paragraph" w:styleId="3">
    <w:name w:val="heading 1"/>
    <w:basedOn w:val="1"/>
    <w:next w:val="1"/>
    <w:link w:val="44"/>
    <w:qFormat/>
    <w:uiPriority w:val="0"/>
    <w:pPr>
      <w:keepNext/>
      <w:keepLines/>
      <w:outlineLvl w:val="0"/>
    </w:pPr>
    <w:rPr>
      <w:rFonts w:eastAsia="黑体" w:asciiTheme="minorHAnsi" w:hAnsiTheme="minorHAnsi"/>
      <w:kern w:val="44"/>
    </w:rPr>
  </w:style>
  <w:style w:type="paragraph" w:styleId="4">
    <w:name w:val="heading 2"/>
    <w:basedOn w:val="1"/>
    <w:next w:val="1"/>
    <w:link w:val="27"/>
    <w:unhideWhenUsed/>
    <w:qFormat/>
    <w:uiPriority w:val="0"/>
    <w:pPr>
      <w:keepNext/>
      <w:keepLines/>
      <w:spacing w:before="260" w:after="260" w:line="416" w:lineRule="auto"/>
      <w:outlineLvl w:val="1"/>
    </w:pPr>
    <w:rPr>
      <w:rFonts w:asciiTheme="majorHAnsi" w:hAnsiTheme="majorHAnsi" w:eastAsiaTheme="majorEastAsia" w:cstheme="majorBidi"/>
      <w:b/>
      <w:bCs/>
      <w:szCs w:val="32"/>
    </w:rPr>
  </w:style>
  <w:style w:type="paragraph" w:styleId="5">
    <w:name w:val="heading 3"/>
    <w:basedOn w:val="1"/>
    <w:next w:val="1"/>
    <w:link w:val="37"/>
    <w:unhideWhenUsed/>
    <w:qFormat/>
    <w:uiPriority w:val="0"/>
    <w:pPr>
      <w:keepNext/>
      <w:keepLines/>
      <w:spacing w:before="260" w:after="260" w:line="416" w:lineRule="auto"/>
      <w:outlineLvl w:val="2"/>
    </w:pPr>
    <w:rPr>
      <w:b/>
      <w:bCs/>
      <w:szCs w:val="32"/>
    </w:rPr>
  </w:style>
  <w:style w:type="paragraph" w:styleId="6">
    <w:name w:val="heading 5"/>
    <w:basedOn w:val="1"/>
    <w:next w:val="1"/>
    <w:unhideWhenUsed/>
    <w:qFormat/>
    <w:uiPriority w:val="0"/>
    <w:pPr>
      <w:keepNext/>
      <w:keepLines/>
      <w:spacing w:before="280" w:after="290" w:line="376" w:lineRule="auto"/>
      <w:outlineLvl w:val="4"/>
    </w:pPr>
    <w:rPr>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34"/>
    <w:qFormat/>
    <w:uiPriority w:val="99"/>
    <w:rPr>
      <w:sz w:val="18"/>
      <w:szCs w:val="18"/>
    </w:rPr>
  </w:style>
  <w:style w:type="paragraph" w:styleId="7">
    <w:name w:val="toc 7"/>
    <w:basedOn w:val="1"/>
    <w:next w:val="1"/>
    <w:unhideWhenUsed/>
    <w:qFormat/>
    <w:uiPriority w:val="39"/>
    <w:pPr>
      <w:ind w:left="2520" w:leftChars="1200"/>
    </w:pPr>
    <w:rPr>
      <w:szCs w:val="22"/>
    </w:rPr>
  </w:style>
  <w:style w:type="paragraph" w:styleId="8">
    <w:name w:val="Body Text"/>
    <w:basedOn w:val="1"/>
    <w:link w:val="39"/>
    <w:qFormat/>
    <w:uiPriority w:val="1"/>
    <w:pPr>
      <w:autoSpaceDE w:val="0"/>
      <w:autoSpaceDN w:val="0"/>
      <w:jc w:val="left"/>
    </w:pPr>
    <w:rPr>
      <w:rFonts w:ascii="宋体" w:hAnsi="宋体" w:eastAsia="宋体" w:cs="宋体"/>
      <w:kern w:val="0"/>
      <w:sz w:val="29"/>
      <w:szCs w:val="29"/>
      <w:lang w:eastAsia="en-US"/>
    </w:rPr>
  </w:style>
  <w:style w:type="paragraph" w:styleId="9">
    <w:name w:val="toc 5"/>
    <w:basedOn w:val="1"/>
    <w:next w:val="1"/>
    <w:unhideWhenUsed/>
    <w:qFormat/>
    <w:uiPriority w:val="39"/>
    <w:pPr>
      <w:ind w:left="1680" w:leftChars="800"/>
    </w:pPr>
    <w:rPr>
      <w:szCs w:val="22"/>
    </w:rPr>
  </w:style>
  <w:style w:type="paragraph" w:styleId="10">
    <w:name w:val="toc 3"/>
    <w:basedOn w:val="1"/>
    <w:next w:val="1"/>
    <w:unhideWhenUsed/>
    <w:qFormat/>
    <w:uiPriority w:val="39"/>
    <w:pPr>
      <w:ind w:left="840" w:leftChars="400"/>
    </w:pPr>
    <w:rPr>
      <w:szCs w:val="22"/>
    </w:rPr>
  </w:style>
  <w:style w:type="paragraph" w:styleId="11">
    <w:name w:val="toc 8"/>
    <w:basedOn w:val="1"/>
    <w:next w:val="1"/>
    <w:unhideWhenUsed/>
    <w:qFormat/>
    <w:uiPriority w:val="39"/>
    <w:pPr>
      <w:ind w:left="2940" w:leftChars="1400"/>
    </w:pPr>
    <w:rPr>
      <w:szCs w:val="22"/>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style>
  <w:style w:type="paragraph" w:styleId="15">
    <w:name w:val="toc 4"/>
    <w:basedOn w:val="1"/>
    <w:next w:val="1"/>
    <w:unhideWhenUsed/>
    <w:qFormat/>
    <w:uiPriority w:val="39"/>
    <w:pPr>
      <w:ind w:left="1260" w:leftChars="600"/>
    </w:pPr>
    <w:rPr>
      <w:szCs w:val="22"/>
    </w:rPr>
  </w:style>
  <w:style w:type="paragraph" w:styleId="16">
    <w:name w:val="toc 6"/>
    <w:basedOn w:val="1"/>
    <w:next w:val="1"/>
    <w:unhideWhenUsed/>
    <w:qFormat/>
    <w:uiPriority w:val="39"/>
    <w:pPr>
      <w:ind w:left="2100" w:leftChars="1000"/>
    </w:pPr>
    <w:rPr>
      <w:szCs w:val="22"/>
    </w:rPr>
  </w:style>
  <w:style w:type="paragraph" w:styleId="17">
    <w:name w:val="toc 2"/>
    <w:basedOn w:val="1"/>
    <w:next w:val="1"/>
    <w:qFormat/>
    <w:uiPriority w:val="39"/>
    <w:pPr>
      <w:ind w:left="420" w:leftChars="200"/>
    </w:pPr>
  </w:style>
  <w:style w:type="paragraph" w:styleId="18">
    <w:name w:val="toc 9"/>
    <w:basedOn w:val="1"/>
    <w:next w:val="1"/>
    <w:unhideWhenUsed/>
    <w:qFormat/>
    <w:uiPriority w:val="39"/>
    <w:pPr>
      <w:ind w:left="3360" w:leftChars="1600"/>
    </w:pPr>
    <w:rPr>
      <w:szCs w:val="22"/>
    </w:rPr>
  </w:style>
  <w:style w:type="paragraph" w:styleId="19">
    <w:name w:val="Normal (Web)"/>
    <w:basedOn w:val="1"/>
    <w:qFormat/>
    <w:uiPriority w:val="0"/>
    <w:pPr>
      <w:spacing w:beforeAutospacing="1" w:afterAutospacing="1"/>
      <w:jc w:val="left"/>
    </w:pPr>
    <w:rPr>
      <w:rFonts w:cs="Times New Roman"/>
      <w:kern w:val="0"/>
      <w:sz w:val="24"/>
    </w:rPr>
  </w:style>
  <w:style w:type="paragraph" w:styleId="20">
    <w:name w:val="Title"/>
    <w:basedOn w:val="1"/>
    <w:next w:val="1"/>
    <w:link w:val="33"/>
    <w:qFormat/>
    <w:uiPriority w:val="0"/>
    <w:pPr>
      <w:spacing w:before="240" w:after="60"/>
      <w:jc w:val="center"/>
      <w:outlineLvl w:val="0"/>
    </w:pPr>
    <w:rPr>
      <w:rFonts w:eastAsia="宋体" w:asciiTheme="majorHAnsi" w:hAnsiTheme="majorHAnsi" w:cstheme="majorBidi"/>
      <w:b/>
      <w:bCs/>
      <w:szCs w:val="32"/>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rPr>
  </w:style>
  <w:style w:type="character" w:styleId="25">
    <w:name w:val="FollowedHyperlink"/>
    <w:basedOn w:val="23"/>
    <w:qFormat/>
    <w:uiPriority w:val="0"/>
    <w:rPr>
      <w:color w:val="800080"/>
      <w:u w:val="single"/>
    </w:rPr>
  </w:style>
  <w:style w:type="character" w:styleId="26">
    <w:name w:val="Hyperlink"/>
    <w:basedOn w:val="23"/>
    <w:unhideWhenUsed/>
    <w:qFormat/>
    <w:uiPriority w:val="99"/>
    <w:rPr>
      <w:color w:val="0563C1" w:themeColor="hyperlink"/>
      <w:u w:val="single"/>
      <w14:textFill>
        <w14:solidFill>
          <w14:schemeClr w14:val="hlink"/>
        </w14:solidFill>
      </w14:textFill>
    </w:rPr>
  </w:style>
  <w:style w:type="character" w:customStyle="1" w:styleId="27">
    <w:name w:val="标题 2 字符"/>
    <w:basedOn w:val="23"/>
    <w:link w:val="4"/>
    <w:qFormat/>
    <w:uiPriority w:val="0"/>
    <w:rPr>
      <w:rFonts w:asciiTheme="majorHAnsi" w:hAnsiTheme="majorHAnsi" w:eastAsiaTheme="majorEastAsia" w:cstheme="majorBidi"/>
      <w:b/>
      <w:bCs/>
      <w:kern w:val="2"/>
      <w:sz w:val="32"/>
      <w:szCs w:val="32"/>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封面标准名称"/>
    <w:basedOn w:val="1"/>
    <w:qFormat/>
    <w:uiPriority w:val="0"/>
    <w:pPr>
      <w:spacing w:line="680" w:lineRule="exact"/>
      <w:jc w:val="center"/>
    </w:pPr>
    <w:rPr>
      <w:rFonts w:hint="eastAsia" w:ascii="黑体" w:eastAsia="黑体"/>
      <w:kern w:val="0"/>
      <w:sz w:val="52"/>
      <w:szCs w:val="20"/>
    </w:rPr>
  </w:style>
  <w:style w:type="paragraph" w:customStyle="1" w:styleId="30">
    <w:name w:val="Char Char1 Char Char Char Char Char Char Char Char Char Char Char"/>
    <w:basedOn w:val="1"/>
    <w:qFormat/>
    <w:uiPriority w:val="0"/>
    <w:pPr>
      <w:widowControl/>
      <w:snapToGrid w:val="0"/>
    </w:pPr>
    <w:rPr>
      <w:rFonts w:ascii="Times New Roman" w:hAnsi="Times New Roman" w:eastAsia="宋体" w:cs="Times New Roman"/>
      <w:szCs w:val="30"/>
    </w:rPr>
  </w:style>
  <w:style w:type="paragraph" w:customStyle="1" w:styleId="31">
    <w:name w:val="列出段落1"/>
    <w:basedOn w:val="1"/>
    <w:unhideWhenUsed/>
    <w:qFormat/>
    <w:uiPriority w:val="99"/>
    <w:pPr>
      <w:ind w:firstLine="420"/>
    </w:pPr>
  </w:style>
  <w:style w:type="paragraph" w:customStyle="1" w:styleId="32">
    <w:name w:val="TOC 标题1"/>
    <w:basedOn w:val="3"/>
    <w:next w:val="1"/>
    <w:unhideWhenUsed/>
    <w:qFormat/>
    <w:uiPriority w:val="39"/>
    <w:pPr>
      <w:widowControl/>
      <w:spacing w:before="48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33">
    <w:name w:val="标题 字符"/>
    <w:basedOn w:val="23"/>
    <w:link w:val="20"/>
    <w:qFormat/>
    <w:uiPriority w:val="0"/>
    <w:rPr>
      <w:rFonts w:asciiTheme="majorHAnsi" w:hAnsiTheme="majorHAnsi" w:cstheme="majorBidi"/>
      <w:b/>
      <w:bCs/>
      <w:kern w:val="2"/>
      <w:sz w:val="32"/>
      <w:szCs w:val="32"/>
    </w:rPr>
  </w:style>
  <w:style w:type="character" w:customStyle="1" w:styleId="34">
    <w:name w:val="批注框文本 字符"/>
    <w:basedOn w:val="23"/>
    <w:link w:val="2"/>
    <w:qFormat/>
    <w:uiPriority w:val="99"/>
    <w:rPr>
      <w:rFonts w:asciiTheme="minorHAnsi" w:hAnsiTheme="minorHAnsi" w:eastAsiaTheme="minorEastAsia" w:cstheme="minorBidi"/>
      <w:kern w:val="2"/>
      <w:sz w:val="18"/>
      <w:szCs w:val="18"/>
    </w:rPr>
  </w:style>
  <w:style w:type="paragraph" w:customStyle="1" w:styleId="35">
    <w:name w:val="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36">
    <w:name w:val="正文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37">
    <w:name w:val="标题 3 字符"/>
    <w:basedOn w:val="23"/>
    <w:link w:val="5"/>
    <w:qFormat/>
    <w:uiPriority w:val="0"/>
    <w:rPr>
      <w:rFonts w:asciiTheme="minorHAnsi" w:hAnsiTheme="minorHAnsi" w:eastAsiaTheme="minorEastAsia" w:cstheme="minorBidi"/>
      <w:b/>
      <w:bCs/>
      <w:kern w:val="2"/>
      <w:sz w:val="32"/>
      <w:szCs w:val="32"/>
    </w:rPr>
  </w:style>
  <w:style w:type="paragraph" w:customStyle="1" w:styleId="38">
    <w:name w:val="Normal New New"/>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39">
    <w:name w:val="正文文本 字符"/>
    <w:basedOn w:val="23"/>
    <w:link w:val="8"/>
    <w:qFormat/>
    <w:uiPriority w:val="1"/>
    <w:rPr>
      <w:rFonts w:ascii="宋体" w:hAnsi="宋体" w:cs="宋体"/>
      <w:sz w:val="29"/>
      <w:szCs w:val="29"/>
      <w:lang w:eastAsia="en-US"/>
    </w:rPr>
  </w:style>
  <w:style w:type="character" w:customStyle="1" w:styleId="40">
    <w:name w:val="未处理的提及1"/>
    <w:basedOn w:val="23"/>
    <w:semiHidden/>
    <w:unhideWhenUsed/>
    <w:qFormat/>
    <w:uiPriority w:val="99"/>
    <w:rPr>
      <w:color w:val="605E5C"/>
      <w:shd w:val="clear" w:color="auto" w:fill="E1DFDD"/>
    </w:rPr>
  </w:style>
  <w:style w:type="paragraph" w:customStyle="1" w:styleId="41">
    <w:name w:val="一级标题"/>
    <w:basedOn w:val="2"/>
    <w:link w:val="43"/>
    <w:qFormat/>
    <w:uiPriority w:val="0"/>
    <w:rPr>
      <w:rFonts w:ascii="黑体" w:hAnsi="黑体" w:eastAsia="黑体" w:cs="宋体"/>
      <w:color w:val="333333"/>
      <w:kern w:val="0"/>
      <w:sz w:val="32"/>
      <w:szCs w:val="32"/>
    </w:rPr>
  </w:style>
  <w:style w:type="paragraph" w:customStyle="1" w:styleId="42">
    <w:name w:val="大标题"/>
    <w:basedOn w:val="3"/>
    <w:link w:val="45"/>
    <w:qFormat/>
    <w:uiPriority w:val="0"/>
    <w:pPr>
      <w:spacing w:line="600" w:lineRule="exact"/>
      <w:jc w:val="center"/>
    </w:pPr>
    <w:rPr>
      <w:rFonts w:ascii="方正小标宋简体" w:hAnsi="方正小标宋简体" w:eastAsia="方正小标宋简体"/>
      <w:color w:val="333333"/>
      <w:kern w:val="2"/>
      <w:szCs w:val="44"/>
    </w:rPr>
  </w:style>
  <w:style w:type="character" w:customStyle="1" w:styleId="43">
    <w:name w:val="一级标题 字符"/>
    <w:basedOn w:val="34"/>
    <w:link w:val="41"/>
    <w:qFormat/>
    <w:uiPriority w:val="0"/>
    <w:rPr>
      <w:rFonts w:ascii="黑体" w:hAnsi="黑体" w:eastAsia="黑体" w:cs="宋体"/>
      <w:color w:val="333333"/>
      <w:kern w:val="2"/>
      <w:sz w:val="32"/>
      <w:szCs w:val="32"/>
    </w:rPr>
  </w:style>
  <w:style w:type="character" w:customStyle="1" w:styleId="44">
    <w:name w:val="标题 1 字符"/>
    <w:basedOn w:val="23"/>
    <w:link w:val="3"/>
    <w:qFormat/>
    <w:uiPriority w:val="0"/>
    <w:rPr>
      <w:rFonts w:eastAsia="黑体" w:asciiTheme="minorHAnsi" w:hAnsiTheme="minorHAnsi" w:cstheme="minorBidi"/>
      <w:kern w:val="44"/>
      <w:sz w:val="32"/>
      <w:szCs w:val="24"/>
    </w:rPr>
  </w:style>
  <w:style w:type="character" w:customStyle="1" w:styleId="45">
    <w:name w:val="大标题 字符"/>
    <w:basedOn w:val="44"/>
    <w:link w:val="42"/>
    <w:qFormat/>
    <w:uiPriority w:val="0"/>
    <w:rPr>
      <w:rFonts w:ascii="方正小标宋简体" w:hAnsi="方正小标宋简体" w:eastAsia="方正小标宋简体" w:cstheme="minorBidi"/>
      <w:color w:val="333333"/>
      <w:kern w:val="2"/>
      <w:sz w:val="44"/>
      <w:szCs w:val="44"/>
    </w:rPr>
  </w:style>
  <w:style w:type="paragraph" w:customStyle="1" w:styleId="46">
    <w:name w:val="小标宋三号"/>
    <w:basedOn w:val="1"/>
    <w:qFormat/>
    <w:uiPriority w:val="0"/>
    <w:pPr>
      <w:keepNext/>
      <w:keepLines/>
      <w:spacing w:line="600" w:lineRule="exact"/>
      <w:jc w:val="center"/>
      <w:outlineLvl w:val="0"/>
    </w:pPr>
    <w:rPr>
      <w:rFonts w:hint="eastAsia" w:ascii="方正小标宋简体" w:hAnsi="方正小标宋简体" w:eastAsia="方正小标宋简体"/>
      <w:color w:val="333333"/>
      <w:szCs w:val="32"/>
    </w:rPr>
  </w:style>
  <w:style w:type="paragraph" w:customStyle="1" w:styleId="47">
    <w:name w:val="正文 小四 + Arial"/>
    <w:basedOn w:val="48"/>
    <w:qFormat/>
    <w:uiPriority w:val="0"/>
    <w:pPr>
      <w:ind w:firstLine="480"/>
    </w:pPr>
  </w:style>
  <w:style w:type="paragraph" w:customStyle="1" w:styleId="48">
    <w:name w:val="正文 小四"/>
    <w:basedOn w:val="1"/>
    <w:qFormat/>
    <w:uiPriority w:val="0"/>
    <w:pPr>
      <w:ind w:firstLine="200" w:firstLineChars="200"/>
    </w:pPr>
  </w:style>
  <w:style w:type="paragraph" w:customStyle="1" w:styleId="49">
    <w:name w:val="Default"/>
    <w:basedOn w:val="1"/>
    <w:qFormat/>
    <w:uiPriority w:val="0"/>
    <w:pPr>
      <w:autoSpaceDE w:val="0"/>
      <w:autoSpaceDN w:val="0"/>
      <w:adjustRightInd w:val="0"/>
      <w:jc w:val="left"/>
    </w:pPr>
    <w:rPr>
      <w:rFonts w:ascii="宋体" w:hAnsi="Times New Roman" w:cs="宋体"/>
      <w:color w:val="000000"/>
      <w:kern w:val="0"/>
      <w:sz w:val="24"/>
    </w:rPr>
  </w:style>
  <w:style w:type="paragraph" w:styleId="50">
    <w:name w:val="List Paragraph"/>
    <w:basedOn w:val="1"/>
    <w:qFormat/>
    <w:uiPriority w:val="34"/>
    <w:pPr>
      <w:widowControl/>
      <w:spacing w:after="160" w:line="259" w:lineRule="auto"/>
      <w:ind w:left="720"/>
      <w:contextualSpacing/>
      <w:jc w:val="left"/>
    </w:pPr>
    <w:rPr>
      <w:rFonts w:ascii="等线" w:hAnsi="等线" w:eastAsia="等线"/>
      <w:kern w:val="0"/>
      <w:sz w:val="22"/>
      <w:szCs w:val="22"/>
      <w:lang w:val="en-GB"/>
    </w:rPr>
  </w:style>
  <w:style w:type="character" w:customStyle="1" w:styleId="51">
    <w:name w:val="font11"/>
    <w:basedOn w:val="23"/>
    <w:qFormat/>
    <w:uiPriority w:val="0"/>
    <w:rPr>
      <w:rFonts w:hint="default" w:ascii="仿宋_GB2312" w:eastAsia="仿宋_GB2312" w:cs="仿宋_GB2312"/>
      <w:color w:val="000000"/>
      <w:sz w:val="21"/>
      <w:szCs w:val="21"/>
      <w:u w:val="none"/>
    </w:rPr>
  </w:style>
  <w:style w:type="character" w:customStyle="1" w:styleId="52">
    <w:name w:val="font01"/>
    <w:basedOn w:val="23"/>
    <w:qFormat/>
    <w:uiPriority w:val="0"/>
    <w:rPr>
      <w:rFonts w:hint="eastAsia" w:ascii="宋体" w:hAnsi="宋体" w:eastAsia="宋体" w:cs="宋体"/>
      <w:color w:val="000000"/>
      <w:sz w:val="21"/>
      <w:szCs w:val="21"/>
      <w:u w:val="none"/>
    </w:rPr>
  </w:style>
  <w:style w:type="character" w:customStyle="1" w:styleId="53">
    <w:name w:val="font31"/>
    <w:basedOn w:val="23"/>
    <w:qFormat/>
    <w:uiPriority w:val="0"/>
    <w:rPr>
      <w:rFonts w:hint="default" w:ascii="仿宋_GB2312" w:eastAsia="仿宋_GB2312" w:cs="仿宋_GB2312"/>
      <w:color w:val="000000"/>
      <w:sz w:val="21"/>
      <w:szCs w:val="21"/>
      <w:u w:val="none"/>
    </w:rPr>
  </w:style>
  <w:style w:type="table" w:customStyle="1" w:styleId="5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123</Pages>
  <Words>41880</Words>
  <Characters>46188</Characters>
  <Lines>305</Lines>
  <Paragraphs>86</Paragraphs>
  <TotalTime>0</TotalTime>
  <ScaleCrop>false</ScaleCrop>
  <LinksUpToDate>false</LinksUpToDate>
  <CharactersWithSpaces>46790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2020-03-04T17:53:00Z</dcterms:created>
  <dc:creator>lenovo</dc:creator>
  <cp:lastModifiedBy>WPS_1602491197</cp:lastModifiedBy>
  <cp:lastPrinted>2022-09-26T11:46:00Z</cp:lastPrinted>
  <dcterms:modified xsi:type="dcterms:W3CDTF">2022-09-28T10:29:50Z</dcterms:modified>
  <cp:revision>479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AB2ECC6EA1D64D14AD49BB63EE53F867</vt:lpwstr>
  </property>
</Properties>
</file>