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42B76">
      <w:pPr>
        <w:jc w:val="center"/>
        <w:rPr>
          <w:rFonts w:hint="eastAsia" w:ascii="方正小标宋简体" w:hAnsi="方正小标宋简体" w:eastAsia="方正小标宋简体" w:cs="方正小标宋简体"/>
          <w:i w:val="0"/>
          <w:iCs w:val="0"/>
          <w:caps w:val="0"/>
          <w:color w:val="0D0D0D" w:themeColor="text1" w:themeTint="F2"/>
          <w:spacing w:val="0"/>
          <w:sz w:val="40"/>
          <w:szCs w:val="40"/>
          <w14:textFill>
            <w14:solidFill>
              <w14:schemeClr w14:val="tx1">
                <w14:lumMod w14:val="95000"/>
                <w14:lumOff w14:val="5000"/>
              </w14:schemeClr>
            </w14:solidFill>
          </w14:textFill>
        </w:rPr>
      </w:pPr>
    </w:p>
    <w:p w14:paraId="5AD80D20">
      <w:pPr>
        <w:jc w:val="center"/>
        <w:rPr>
          <w:rFonts w:ascii="微软雅黑" w:hAnsi="微软雅黑" w:eastAsia="微软雅黑" w:cs="微软雅黑"/>
          <w:i w:val="0"/>
          <w:iCs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i w:val="0"/>
          <w:iCs w:val="0"/>
          <w:caps w:val="0"/>
          <w:color w:val="0D0D0D" w:themeColor="text1" w:themeTint="F2"/>
          <w:spacing w:val="0"/>
          <w:sz w:val="40"/>
          <w:szCs w:val="40"/>
          <w14:textFill>
            <w14:solidFill>
              <w14:schemeClr w14:val="tx1">
                <w14:lumMod w14:val="95000"/>
                <w14:lumOff w14:val="5000"/>
              </w14:schemeClr>
            </w14:solidFill>
          </w14:textFill>
        </w:rPr>
        <w:t>关于《工程建设项目招标代理机构管理暂行办法》的解读</w:t>
      </w:r>
    </w:p>
    <w:p w14:paraId="36667A2F">
      <w:pPr>
        <w:rPr>
          <w:rFonts w:ascii="微软雅黑" w:hAnsi="微软雅黑" w:eastAsia="微软雅黑" w:cs="微软雅黑"/>
          <w:i w:val="0"/>
          <w:iCs w:val="0"/>
          <w:caps w:val="0"/>
          <w:color w:val="0D0D0D" w:themeColor="text1" w:themeTint="F2"/>
          <w:spacing w:val="0"/>
          <w:sz w:val="24"/>
          <w:szCs w:val="24"/>
          <w14:textFill>
            <w14:solidFill>
              <w14:schemeClr w14:val="tx1">
                <w14:lumMod w14:val="95000"/>
                <w14:lumOff w14:val="5000"/>
              </w14:schemeClr>
            </w14:solidFill>
          </w14:textFill>
        </w:rPr>
      </w:pPr>
    </w:p>
    <w:p w14:paraId="6341E1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落实《政府工作报告》关于改革完善招标投标体制机制的部署要求，近日，国家发展改革委会同工业和信息化部、住房城乡建设部、交通运输部、水利部、农业农村部联合印发了《工程建设项目招标代理机构管理暂行办法》（国家发展改革委、工业和信息化部、住房城乡建设部、交通运输部、水利部、农业农村部令第34号，以下简称《办法》）。现将有关情况简要介绍如下。</w:t>
      </w:r>
    </w:p>
    <w:p w14:paraId="44EA1C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　　</w:t>
      </w:r>
      <w:r>
        <w:rPr>
          <w:rFonts w:hint="eastAsia" w:ascii="仿宋_GB2312" w:hAnsi="仿宋_GB2312" w:eastAsia="仿宋_GB2312" w:cs="仿宋_GB2312"/>
          <w:b/>
          <w:bCs/>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一、《办法》起草背景</w:t>
      </w:r>
    </w:p>
    <w:p w14:paraId="52D5A0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　　代理机构是联通整个招投标活动、提供招投标专业服务的重要主体。2000年1月1日施行的《招标投标法》对招标代理机构的资格条件和从业规范提出明确要求，2012年2月1日施行的《招标投标法实施条例》进一步作出细化规定。2017年，《招标投标法》和《招标投标法实施条例》分别修订，取消了招标代理机构资质和从业人员资格管理的要求，市场参与主体数量快速增长。目前，全国已有超11万家招标代理机构、超100万名从业人员，对提高招投标效率、提升招投标专业化水平发挥了重要作用。但是我们也看到，一些招标代理机构违法开展业务，通过弄虚作假、泄露信息、策划围串标、向评标专家行贿等方式谋取非法利益，严重扰乱了行业秩序。为解决招标代理行业突出问题，推动招标代理行业规范健康发展，国家发展改革委会同有关部门，在深入调查研究、广泛征求意见和认真总结经验基础上，制定了《办法》。</w:t>
      </w:r>
    </w:p>
    <w:p w14:paraId="0F7CC9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　　</w:t>
      </w:r>
      <w:r>
        <w:rPr>
          <w:rFonts w:hint="eastAsia" w:ascii="仿宋_GB2312" w:hAnsi="仿宋_GB2312" w:eastAsia="仿宋_GB2312" w:cs="仿宋_GB2312"/>
          <w:b/>
          <w:bCs/>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二、《办法》制定的主要思路和内容</w:t>
      </w:r>
    </w:p>
    <w:p w14:paraId="68D882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　　《办法》认真贯彻党中央、国务院关于招标投标改革的决策部署，落实《国务院办公厅关于创新完善体制机制推动招标投标市场规范健康发展的意见》（国办发〔2024〕21号）关于健全招标代理机构服务机制有关要求，结合招标代理行业实践和市场关切的重点问题，研究提出了有针对性的管理举措。《办法》共6章35条。</w:t>
      </w:r>
    </w:p>
    <w:p w14:paraId="105893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　　</w:t>
      </w:r>
      <w:r>
        <w:rPr>
          <w:rFonts w:hint="eastAsia" w:ascii="仿宋_GB2312" w:hAnsi="仿宋_GB2312" w:eastAsia="仿宋_GB2312" w:cs="仿宋_GB2312"/>
          <w:b/>
          <w:bCs/>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第一章总则，</w:t>
      </w: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规定了立法目的、依据、适用范围、职责分工、基本原则等内容，明确国家发展改革委牵头制定招标代理综合性政策，住房城乡建设部负责代理机构统一登记，工业和信息化部、住房城乡建设部、交通运输部、水利部、农业农村部等部门对本领域的招标代理活动实施监管。</w:t>
      </w:r>
    </w:p>
    <w:p w14:paraId="6F465C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　　</w:t>
      </w:r>
      <w:r>
        <w:rPr>
          <w:rFonts w:hint="eastAsia" w:ascii="仿宋_GB2312" w:hAnsi="仿宋_GB2312" w:eastAsia="仿宋_GB2312" w:cs="仿宋_GB2312"/>
          <w:b/>
          <w:bCs/>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第二章登记管理，</w:t>
      </w: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建立了代理机构统一登记机制，规定了代理机构登记的内容、流程，明确代理机构登记信息应向全社会公布，并在相关部门间实行信息共享。</w:t>
      </w:r>
    </w:p>
    <w:p w14:paraId="372376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　　</w:t>
      </w:r>
      <w:r>
        <w:rPr>
          <w:rFonts w:hint="eastAsia" w:ascii="仿宋_GB2312" w:hAnsi="仿宋_GB2312" w:eastAsia="仿宋_GB2312" w:cs="仿宋_GB2312"/>
          <w:b/>
          <w:bCs/>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第三章从业管理，</w:t>
      </w: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规定了代理机构承接业务的基本条件，明确因严重违法被禁止从业的机构和人员不得承接业务，并对项目负责人选择、从业人员管理、代理合同签订、代理费用收取等提出具体要求。</w:t>
      </w:r>
    </w:p>
    <w:p w14:paraId="2211F9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　　</w:t>
      </w:r>
      <w:r>
        <w:rPr>
          <w:rFonts w:hint="eastAsia" w:ascii="仿宋_GB2312" w:hAnsi="仿宋_GB2312" w:eastAsia="仿宋_GB2312" w:cs="仿宋_GB2312"/>
          <w:b/>
          <w:bCs/>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第四章监督管理，</w:t>
      </w: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规定了有关投诉处理、信息核实、监督检查、代理机构评价等事项，明确省级住建部门核实处理代理机构虚假登记行为。</w:t>
      </w:r>
    </w:p>
    <w:p w14:paraId="508B56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　　</w:t>
      </w:r>
      <w:r>
        <w:rPr>
          <w:rFonts w:hint="eastAsia" w:ascii="仿宋_GB2312" w:hAnsi="仿宋_GB2312" w:eastAsia="仿宋_GB2312" w:cs="仿宋_GB2312"/>
          <w:b/>
          <w:bCs/>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第五章法律责任，</w:t>
      </w: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规定了代理机构违法从业的法律后果，明确由行业主管部门对串通、行贿等行为，实施罚款、禁止一定期限内从业等行政处罚，并对处罚信息进行归集共享。</w:t>
      </w:r>
    </w:p>
    <w:p w14:paraId="786136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　　</w:t>
      </w:r>
      <w:r>
        <w:rPr>
          <w:rFonts w:hint="eastAsia" w:ascii="仿宋_GB2312" w:hAnsi="仿宋_GB2312" w:eastAsia="仿宋_GB2312" w:cs="仿宋_GB2312"/>
          <w:b/>
          <w:bCs/>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第六章附则，</w:t>
      </w: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规定了解释机关、施行时间等。</w:t>
      </w:r>
    </w:p>
    <w:p w14:paraId="44777D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　　</w:t>
      </w:r>
      <w:r>
        <w:rPr>
          <w:rFonts w:hint="eastAsia" w:ascii="仿宋_GB2312" w:hAnsi="仿宋_GB2312" w:eastAsia="仿宋_GB2312" w:cs="仿宋_GB2312"/>
          <w:b/>
          <w:bCs/>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三、《办法》对招标代理机构提出了哪些新要求</w:t>
      </w:r>
    </w:p>
    <w:p w14:paraId="240372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　　2017年招标代理机构资质管理取消后，代理机构及从业人员底数不清、管理缺失的现象日益突出。《办法》坚持问题导向，提出了三方面新要求。</w:t>
      </w:r>
    </w:p>
    <w:p w14:paraId="37F1C9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　　</w:t>
      </w:r>
      <w:r>
        <w:rPr>
          <w:rFonts w:hint="eastAsia" w:ascii="仿宋_GB2312" w:hAnsi="仿宋_GB2312" w:eastAsia="仿宋_GB2312" w:cs="仿宋_GB2312"/>
          <w:b/>
          <w:bCs/>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一是统一登记。</w:t>
      </w: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《办法》要求代理机构在省级建筑市场监管一体化工作平台上登记基本信息，包括机构、场所、从业人员等。代理机构对其登记的基本信息真实性和准确性负责，信息发生变更的，要在10日内自行更新。</w:t>
      </w:r>
    </w:p>
    <w:p w14:paraId="0BE1F4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　　</w:t>
      </w:r>
      <w:r>
        <w:rPr>
          <w:rFonts w:hint="eastAsia" w:ascii="仿宋_GB2312" w:hAnsi="仿宋_GB2312" w:eastAsia="仿宋_GB2312" w:cs="仿宋_GB2312"/>
          <w:b/>
          <w:bCs/>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二是规范从业。</w:t>
      </w: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在业务承接方面，《办法》要求代理机构具备独立办公场所和编制招标文件、存储招标资料等所需要的办公条件，拥有不少于5名熟悉招标投标法律法规、具备编制招标文件和组织评标等招标专业能力的从业人员，具备完善的内部管理制度，未被禁止从事招标代理业务等。</w:t>
      </w:r>
      <w:r>
        <w:rPr>
          <w:rFonts w:hint="eastAsia" w:ascii="仿宋_GB2312" w:hAnsi="仿宋_GB2312" w:eastAsia="仿宋_GB2312" w:cs="仿宋_GB2312"/>
          <w:b/>
          <w:bCs/>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在业务开展方面，</w:t>
      </w: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《办法》要求实行项目负责人制，从登记的从业人员中确定一名作为项目负责人，并要求依法签订招标代理合同，规范收取代理费用，按规定公开代理信息，依法协助招标人处理异议。</w:t>
      </w:r>
    </w:p>
    <w:p w14:paraId="41D0B6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　　</w:t>
      </w:r>
      <w:r>
        <w:rPr>
          <w:rFonts w:hint="eastAsia" w:ascii="仿宋_GB2312" w:hAnsi="仿宋_GB2312" w:eastAsia="仿宋_GB2312" w:cs="仿宋_GB2312"/>
          <w:b/>
          <w:bCs/>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三是配合监管。</w:t>
      </w: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办法》对招标代理机构监督管理提出了明确要求。招标人、投标人、潜在投标人和其他利害关系人发现代理机构存在违反法律、法规、规章规定的行为，有权按照项目管理权限向行业主管部门反映，行业主管部门应当核实处理。各级行业主管部门应当按照规定的职责分工，根据投诉举报等情况对从事本行业招标项目代理活动的代理机构进行监督检查，并重点核实代理机构是否满足从业条件、人员专职从业情况、招标代理合同的签订和履行情况、招标文件编制与发售情况、投标保证金收取及退还情况等9类重点事项。国家发展改革委会同相关部门健全开放协同的招标投标电子化数字化智能化监管网络，加强对代理机构的智慧监管。</w:t>
      </w:r>
    </w:p>
    <w:p w14:paraId="57C9C6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　　</w:t>
      </w:r>
      <w:r>
        <w:rPr>
          <w:rFonts w:hint="eastAsia" w:ascii="仿宋_GB2312" w:hAnsi="仿宋_GB2312" w:eastAsia="仿宋_GB2312" w:cs="仿宋_GB2312"/>
          <w:b/>
          <w:bCs/>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四、下一步工作安排</w:t>
      </w:r>
    </w:p>
    <w:p w14:paraId="2F22AE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　　《办法》印发后，国家发展改革委将会同有关部门抓好贯彻落实。</w:t>
      </w:r>
      <w:r>
        <w:rPr>
          <w:rFonts w:hint="eastAsia" w:ascii="仿宋_GB2312" w:hAnsi="仿宋_GB2312" w:eastAsia="仿宋_GB2312" w:cs="仿宋_GB2312"/>
          <w:b/>
          <w:bCs/>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一是做好宣传解读。</w:t>
      </w: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加强《办法》宣贯解读，推动各地、各有关部门和招投标参与主体准确理解《办法》，吃透招标代理机构管理相关要求，为《办法》顺利实施营造良好环境。</w:t>
      </w:r>
      <w:r>
        <w:rPr>
          <w:rFonts w:hint="eastAsia" w:ascii="仿宋_GB2312" w:hAnsi="仿宋_GB2312" w:eastAsia="仿宋_GB2312" w:cs="仿宋_GB2312"/>
          <w:b/>
          <w:bCs/>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二是健全配套机制。</w:t>
      </w: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完善开展代理机构及从业人员统一登记的具体操作规则，加强有关平台之间的对接共享，进一步夯实登记工作基础。</w:t>
      </w:r>
      <w:r>
        <w:rPr>
          <w:rFonts w:hint="eastAsia" w:ascii="仿宋_GB2312" w:hAnsi="仿宋_GB2312" w:eastAsia="仿宋_GB2312" w:cs="仿宋_GB2312"/>
          <w:b/>
          <w:bCs/>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三是强化指导督促。</w:t>
      </w: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会同有关部门通过现场调研、召开工作会议等方式，持续跟进《办法》落实情况，指导各地做好代理机构统一登记和动态管理工作。</w:t>
      </w:r>
      <w:r>
        <w:rPr>
          <w:rFonts w:hint="eastAsia" w:ascii="仿宋_GB2312" w:hAnsi="仿宋_GB2312" w:eastAsia="仿宋_GB2312" w:cs="仿宋_GB2312"/>
          <w:b/>
          <w:bCs/>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四是曝光典型案例。</w:t>
      </w:r>
      <w:r>
        <w:rPr>
          <w:rFonts w:hint="eastAsia" w:ascii="仿宋_GB2312" w:hAnsi="仿宋_GB2312" w:eastAsia="仿宋_GB2312" w:cs="仿宋_GB2312"/>
          <w:i w:val="0"/>
          <w:iCs w:val="0"/>
          <w:caps w:val="0"/>
          <w:color w:val="0D0D0D" w:themeColor="text1" w:themeTint="F2"/>
          <w:spacing w:val="0"/>
          <w:sz w:val="32"/>
          <w:szCs w:val="32"/>
          <w:bdr w:val="none" w:color="auto" w:sz="0" w:space="0"/>
          <w14:textFill>
            <w14:solidFill>
              <w14:schemeClr w14:val="tx1">
                <w14:lumMod w14:val="95000"/>
                <w14:lumOff w14:val="5000"/>
              </w14:schemeClr>
            </w14:solidFill>
          </w14:textFill>
        </w:rPr>
        <w:t>督促各地查办一批代理机构违法活动，及时曝光典型案例，让违法者受震慑，持续推动招标投标市场规范健康发展。</w:t>
      </w:r>
      <w:bookmarkStart w:id="0" w:name="_GoBack"/>
      <w:bookmarkEnd w:id="0"/>
    </w:p>
    <w:p w14:paraId="0739B271">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p>
    <w:p w14:paraId="2A3AED1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eastAsia" w:ascii="仿宋_GB2312" w:hAnsi="仿宋_GB2312" w:eastAsia="仿宋_GB2312" w:cs="仿宋_GB2312"/>
          <w:i w:val="0"/>
          <w:iCs w:val="0"/>
          <w:caps w:val="0"/>
          <w:color w:val="0D0D0D" w:themeColor="text1" w:themeTint="F2"/>
          <w:spacing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lang w:val="en-US" w:eastAsia="zh-CN"/>
          <w14:textFill>
            <w14:solidFill>
              <w14:schemeClr w14:val="tx1">
                <w14:lumMod w14:val="95000"/>
                <w14:lumOff w14:val="5000"/>
              </w14:schemeClr>
            </w14:solidFill>
          </w14:textFill>
        </w:rPr>
        <w:t>来源</w:t>
      </w:r>
      <w:r>
        <w:rPr>
          <w:rFonts w:hint="eastAsia" w:ascii="仿宋_GB2312" w:hAnsi="仿宋_GB2312" w:eastAsia="仿宋_GB2312" w:cs="仿宋_GB2312"/>
          <w:i w:val="0"/>
          <w:iCs w:val="0"/>
          <w:caps w:val="0"/>
          <w:color w:val="0D0D0D" w:themeColor="text1" w:themeTint="F2"/>
          <w:spacing w:val="0"/>
          <w:sz w:val="32"/>
          <w:szCs w:val="32"/>
          <w:lang w:val="en-US" w:eastAsia="zh-CN"/>
          <w14:textFill>
            <w14:solidFill>
              <w14:schemeClr w14:val="tx1">
                <w14:lumMod w14:val="95000"/>
                <w14:lumOff w14:val="5000"/>
              </w14:schemeClr>
            </w14:solidFill>
          </w14:textFill>
        </w:rPr>
        <w:t>：国家发展和改革委员会网站</w:t>
      </w:r>
    </w:p>
    <w:p w14:paraId="7F3D433B">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iCs w:val="0"/>
          <w:caps w:val="0"/>
          <w:color w:val="0D0D0D" w:themeColor="text1" w:themeTint="F2"/>
          <w:spacing w:val="0"/>
          <w:sz w:val="32"/>
          <w:szCs w:val="32"/>
          <w:lang w:val="en-US" w:eastAsia="zh-CN"/>
          <w14:textFill>
            <w14:solidFill>
              <w14:schemeClr w14:val="tx1">
                <w14:lumMod w14:val="95000"/>
                <w14:lumOff w14:val="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68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2025-11-05T02:08:59Z</dcterms:created>
  <dc:creator>Administrator</dc:creator>
  <cp:lastModifiedBy>小舍</cp:lastModifiedBy>
  <dcterms:modified xsi:type="dcterms:W3CDTF">2025-11-05T02:11:36Z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eyJoZGlkIjoiMWY1Y2M5YTkzZDdmYjY0NGUyMmVjMDcwZDY2ODc4YTEiLCJ1c2VySWQiOiI0NTI5MTEzMjAifQ==</vt:lpwstr>
  </property>
  <property fmtid="{D5CDD505-2E9C-101B-9397-08002B2CF9AE}" pid="4" name="ICV">
    <vt:lpwstr>2DDF59A079DD42889CEB00DA29B4ED3B_12</vt:lpwstr>
  </property>
</Properties>
</file>